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17836" w14:textId="77777777" w:rsidR="002B18CB" w:rsidRDefault="007B3B87" w:rsidP="002B18CB">
      <w:pPr>
        <w:spacing w:before="120"/>
        <w:jc w:val="center"/>
        <w:rPr>
          <w:rFonts w:ascii="Arial" w:hAnsi="Arial"/>
          <w:b/>
          <w:bCs/>
          <w:sz w:val="32"/>
        </w:rPr>
      </w:pPr>
      <w:r>
        <w:rPr>
          <w:rFonts w:ascii="Arial" w:hAnsi="Arial"/>
          <w:b/>
          <w:bCs/>
          <w:sz w:val="32"/>
        </w:rPr>
        <w:t>POZVÁNKA</w:t>
      </w:r>
    </w:p>
    <w:p w14:paraId="726D7765" w14:textId="77777777" w:rsidR="006067E8" w:rsidRPr="002B18CB" w:rsidRDefault="00050937" w:rsidP="002B18CB">
      <w:pPr>
        <w:spacing w:before="120"/>
        <w:jc w:val="center"/>
        <w:rPr>
          <w:rFonts w:ascii="Arial" w:hAnsi="Arial"/>
          <w:sz w:val="24"/>
          <w:szCs w:val="24"/>
          <w:lang w:val="cs-CZ"/>
        </w:rPr>
      </w:pPr>
      <w:r>
        <w:rPr>
          <w:rFonts w:ascii="Arial" w:hAnsi="Arial"/>
          <w:b/>
          <w:bCs/>
          <w:sz w:val="24"/>
          <w:szCs w:val="24"/>
        </w:rPr>
        <w:t xml:space="preserve">GOLF AREA </w:t>
      </w:r>
      <w:r w:rsidR="002B18CB" w:rsidRPr="002B18CB">
        <w:rPr>
          <w:rFonts w:ascii="Arial" w:hAnsi="Arial"/>
          <w:b/>
          <w:bCs/>
          <w:sz w:val="24"/>
          <w:szCs w:val="24"/>
        </w:rPr>
        <w:t xml:space="preserve">a.s. - </w:t>
      </w:r>
      <w:r w:rsidR="002B18CB" w:rsidRPr="002B18CB">
        <w:rPr>
          <w:rFonts w:ascii="Arial" w:hAnsi="Arial"/>
          <w:b/>
          <w:bCs/>
          <w:sz w:val="24"/>
          <w:szCs w:val="24"/>
          <w:lang w:val="cs-CZ"/>
        </w:rPr>
        <w:t>řádná valná hromada</w:t>
      </w:r>
      <w:r w:rsidR="002B18CB" w:rsidRPr="002B18CB">
        <w:rPr>
          <w:rFonts w:ascii="Arial" w:hAnsi="Arial"/>
          <w:b/>
          <w:bCs/>
          <w:sz w:val="24"/>
          <w:szCs w:val="24"/>
        </w:rPr>
        <w:t xml:space="preserve"> – </w:t>
      </w:r>
      <w:r w:rsidR="00A404A5">
        <w:rPr>
          <w:rFonts w:ascii="Arial" w:hAnsi="Arial"/>
          <w:b/>
          <w:bCs/>
          <w:sz w:val="24"/>
          <w:szCs w:val="24"/>
        </w:rPr>
        <w:t>9. 12</w:t>
      </w:r>
      <w:r w:rsidR="00D67B55">
        <w:rPr>
          <w:rFonts w:ascii="Arial" w:hAnsi="Arial"/>
          <w:b/>
          <w:bCs/>
          <w:sz w:val="24"/>
          <w:szCs w:val="24"/>
        </w:rPr>
        <w:t>. 2024</w:t>
      </w:r>
    </w:p>
    <w:p w14:paraId="6C8A5E57" w14:textId="77777777" w:rsidR="00F00F91" w:rsidRPr="00A675D2" w:rsidRDefault="006067E8" w:rsidP="00622474">
      <w:pPr>
        <w:spacing w:before="120" w:line="280" w:lineRule="exact"/>
        <w:jc w:val="both"/>
        <w:rPr>
          <w:rFonts w:ascii="Arial" w:hAnsi="Arial"/>
          <w:lang w:val="cs-CZ"/>
        </w:rPr>
      </w:pPr>
      <w:r w:rsidRPr="00A675D2">
        <w:rPr>
          <w:rFonts w:ascii="Arial" w:hAnsi="Arial"/>
          <w:lang w:val="cs-CZ"/>
        </w:rPr>
        <w:t xml:space="preserve">Představenstvo akciové společnosti </w:t>
      </w:r>
      <w:r w:rsidR="00C95629" w:rsidRPr="00A675D2">
        <w:rPr>
          <w:rFonts w:ascii="Arial" w:hAnsi="Arial"/>
          <w:lang w:val="cs-CZ"/>
        </w:rPr>
        <w:t>GOLF AREA a.s., s</w:t>
      </w:r>
      <w:r w:rsidR="007C180C" w:rsidRPr="00A675D2">
        <w:rPr>
          <w:rFonts w:ascii="Arial" w:hAnsi="Arial"/>
          <w:lang w:val="cs-CZ"/>
        </w:rPr>
        <w:t>e</w:t>
      </w:r>
      <w:r w:rsidR="00C95629" w:rsidRPr="00A675D2">
        <w:rPr>
          <w:rFonts w:ascii="Arial" w:hAnsi="Arial"/>
          <w:lang w:val="cs-CZ"/>
        </w:rPr>
        <w:t> sídlem</w:t>
      </w:r>
      <w:r w:rsidR="00F010D9" w:rsidRPr="00A675D2">
        <w:rPr>
          <w:rFonts w:ascii="Arial" w:hAnsi="Arial"/>
          <w:lang w:val="cs-CZ"/>
        </w:rPr>
        <w:t xml:space="preserve"> </w:t>
      </w:r>
      <w:proofErr w:type="spellStart"/>
      <w:r w:rsidR="00AA00A2" w:rsidRPr="00AA00A2">
        <w:rPr>
          <w:rFonts w:ascii="Arial" w:hAnsi="Arial"/>
          <w:lang w:val="cs-CZ"/>
        </w:rPr>
        <w:t>Véska</w:t>
      </w:r>
      <w:proofErr w:type="spellEnd"/>
      <w:r w:rsidR="00AA00A2" w:rsidRPr="00AA00A2">
        <w:rPr>
          <w:rFonts w:ascii="Arial" w:hAnsi="Arial"/>
          <w:lang w:val="cs-CZ"/>
        </w:rPr>
        <w:t xml:space="preserve"> 89, 783 16 Dolany</w:t>
      </w:r>
      <w:r w:rsidR="00AA00A2">
        <w:rPr>
          <w:rFonts w:ascii="Arial" w:hAnsi="Arial"/>
          <w:lang w:val="cs-CZ"/>
        </w:rPr>
        <w:t>, IČ</w:t>
      </w:r>
      <w:r w:rsidR="005418C4">
        <w:rPr>
          <w:rFonts w:ascii="Arial" w:hAnsi="Arial"/>
          <w:lang w:val="cs-CZ"/>
        </w:rPr>
        <w:t>O</w:t>
      </w:r>
      <w:r w:rsidR="00AA00A2">
        <w:rPr>
          <w:rFonts w:ascii="Arial" w:hAnsi="Arial"/>
          <w:lang w:val="cs-CZ"/>
        </w:rPr>
        <w:t>: </w:t>
      </w:r>
      <w:r w:rsidR="00C95629" w:rsidRPr="00A675D2">
        <w:rPr>
          <w:rFonts w:ascii="Arial" w:hAnsi="Arial"/>
          <w:lang w:val="cs-CZ"/>
        </w:rPr>
        <w:t xml:space="preserve">258 31 577, </w:t>
      </w:r>
      <w:r w:rsidRPr="00A675D2">
        <w:rPr>
          <w:rFonts w:ascii="Arial" w:hAnsi="Arial"/>
          <w:lang w:val="cs-CZ"/>
        </w:rPr>
        <w:t>zapsan</w:t>
      </w:r>
      <w:r w:rsidR="00CB1C50" w:rsidRPr="00A675D2">
        <w:rPr>
          <w:rFonts w:ascii="Arial" w:hAnsi="Arial"/>
          <w:lang w:val="cs-CZ"/>
        </w:rPr>
        <w:t>é</w:t>
      </w:r>
      <w:r w:rsidRPr="00A675D2">
        <w:rPr>
          <w:rFonts w:ascii="Arial" w:hAnsi="Arial"/>
          <w:lang w:val="cs-CZ"/>
        </w:rPr>
        <w:t xml:space="preserve"> v obchodním rejstříku vedeném Krajským soudem v Ostravě, </w:t>
      </w:r>
      <w:r w:rsidR="00C95629" w:rsidRPr="00A675D2">
        <w:rPr>
          <w:rFonts w:ascii="Arial" w:hAnsi="Arial"/>
          <w:lang w:val="cs-CZ"/>
        </w:rPr>
        <w:t xml:space="preserve">oddíl B, </w:t>
      </w:r>
      <w:proofErr w:type="spellStart"/>
      <w:r w:rsidR="00C95629" w:rsidRPr="00A675D2">
        <w:rPr>
          <w:rFonts w:ascii="Arial" w:hAnsi="Arial"/>
          <w:lang w:val="cs-CZ"/>
        </w:rPr>
        <w:t>vl.č</w:t>
      </w:r>
      <w:proofErr w:type="spellEnd"/>
      <w:r w:rsidR="00C95629" w:rsidRPr="00A675D2">
        <w:rPr>
          <w:rFonts w:ascii="Arial" w:hAnsi="Arial"/>
          <w:lang w:val="cs-CZ"/>
        </w:rPr>
        <w:t>. 2115</w:t>
      </w:r>
      <w:r w:rsidRPr="00A675D2">
        <w:rPr>
          <w:rFonts w:ascii="Arial" w:hAnsi="Arial"/>
          <w:lang w:val="cs-CZ"/>
        </w:rPr>
        <w:t>, svolává řádnou valnou hr</w:t>
      </w:r>
      <w:r w:rsidR="004D6503" w:rsidRPr="00A675D2">
        <w:rPr>
          <w:rFonts w:ascii="Arial" w:hAnsi="Arial"/>
          <w:lang w:val="cs-CZ"/>
        </w:rPr>
        <w:t xml:space="preserve">omadu, která se bude konat dne </w:t>
      </w:r>
      <w:r w:rsidR="00A404A5">
        <w:rPr>
          <w:rFonts w:ascii="Arial" w:hAnsi="Arial"/>
          <w:b/>
          <w:lang w:val="cs-CZ"/>
        </w:rPr>
        <w:t>9. 12</w:t>
      </w:r>
      <w:r w:rsidR="00D67B55">
        <w:rPr>
          <w:rFonts w:ascii="Arial" w:hAnsi="Arial"/>
          <w:b/>
          <w:lang w:val="cs-CZ"/>
        </w:rPr>
        <w:t>. 2024</w:t>
      </w:r>
      <w:r w:rsidRPr="005418C4">
        <w:rPr>
          <w:rFonts w:ascii="Arial" w:hAnsi="Arial"/>
          <w:b/>
          <w:lang w:val="cs-CZ"/>
        </w:rPr>
        <w:t xml:space="preserve"> </w:t>
      </w:r>
      <w:r w:rsidR="00393775" w:rsidRPr="005418C4">
        <w:rPr>
          <w:rFonts w:ascii="Arial" w:hAnsi="Arial"/>
          <w:b/>
          <w:lang w:val="cs-CZ"/>
        </w:rPr>
        <w:t>v</w:t>
      </w:r>
      <w:r w:rsidR="00A404A5">
        <w:rPr>
          <w:rFonts w:ascii="Arial" w:hAnsi="Arial"/>
          <w:b/>
          <w:lang w:val="cs-CZ"/>
        </w:rPr>
        <w:t> 9:30</w:t>
      </w:r>
      <w:r w:rsidR="00393775" w:rsidRPr="005418C4">
        <w:rPr>
          <w:rFonts w:ascii="Arial" w:hAnsi="Arial"/>
          <w:b/>
          <w:lang w:val="cs-CZ"/>
        </w:rPr>
        <w:t xml:space="preserve"> hod. </w:t>
      </w:r>
      <w:r w:rsidR="00AA00A2" w:rsidRPr="005418C4">
        <w:rPr>
          <w:rFonts w:ascii="Arial" w:hAnsi="Arial"/>
          <w:b/>
          <w:lang w:val="cs-CZ"/>
        </w:rPr>
        <w:t xml:space="preserve">v advokátní kanceláři Mgr. Silvie Šrotíř Sofkové </w:t>
      </w:r>
      <w:r w:rsidR="001D0C39" w:rsidRPr="005418C4">
        <w:rPr>
          <w:rFonts w:ascii="Arial" w:hAnsi="Arial"/>
          <w:b/>
          <w:lang w:val="cs-CZ"/>
        </w:rPr>
        <w:t xml:space="preserve">na adrese </w:t>
      </w:r>
      <w:r w:rsidR="00AA00A2" w:rsidRPr="005418C4">
        <w:rPr>
          <w:rFonts w:ascii="Arial" w:hAnsi="Arial"/>
          <w:b/>
          <w:lang w:val="cs-CZ"/>
        </w:rPr>
        <w:t>Horní náměstí 14/17, 77900 Olomouc</w:t>
      </w:r>
      <w:r w:rsidR="00F00F91" w:rsidRPr="00A675D2">
        <w:rPr>
          <w:rFonts w:ascii="Arial" w:hAnsi="Arial"/>
          <w:lang w:val="cs-CZ"/>
        </w:rPr>
        <w:t>.</w:t>
      </w:r>
      <w:r w:rsidR="00AA00A2">
        <w:rPr>
          <w:rFonts w:ascii="Arial" w:hAnsi="Arial"/>
          <w:lang w:val="cs-CZ"/>
        </w:rPr>
        <w:t xml:space="preserve"> </w:t>
      </w:r>
    </w:p>
    <w:p w14:paraId="13522B2A" w14:textId="77777777" w:rsidR="006067E8" w:rsidRPr="00883EA8" w:rsidRDefault="006067E8" w:rsidP="00622474">
      <w:pPr>
        <w:spacing w:before="120" w:after="120" w:line="280" w:lineRule="exact"/>
        <w:jc w:val="both"/>
        <w:rPr>
          <w:rFonts w:ascii="Arial" w:hAnsi="Arial"/>
          <w:u w:val="single"/>
          <w:lang w:val="cs-CZ"/>
        </w:rPr>
      </w:pPr>
      <w:r w:rsidRPr="00883EA8">
        <w:rPr>
          <w:rFonts w:ascii="Arial" w:hAnsi="Arial"/>
          <w:u w:val="single"/>
          <w:lang w:val="cs-CZ"/>
        </w:rPr>
        <w:t>Pořad jednání řádné valné hromady:</w:t>
      </w:r>
    </w:p>
    <w:p w14:paraId="524EB1F7" w14:textId="77777777" w:rsidR="00181225" w:rsidRPr="00A675D2" w:rsidRDefault="00181225" w:rsidP="00622474">
      <w:pPr>
        <w:numPr>
          <w:ilvl w:val="0"/>
          <w:numId w:val="1"/>
        </w:numPr>
        <w:spacing w:before="120" w:after="120" w:line="280" w:lineRule="exact"/>
        <w:ind w:left="284" w:right="41" w:hanging="284"/>
        <w:jc w:val="both"/>
        <w:rPr>
          <w:rFonts w:ascii="Arial" w:hAnsi="Arial"/>
          <w:lang w:val="cs-CZ"/>
        </w:rPr>
      </w:pPr>
      <w:r w:rsidRPr="00A675D2">
        <w:rPr>
          <w:rFonts w:ascii="Arial" w:hAnsi="Arial"/>
          <w:lang w:val="cs-CZ"/>
        </w:rPr>
        <w:t>Zahájení a volba orgánů valné hromady</w:t>
      </w:r>
    </w:p>
    <w:p w14:paraId="300E240D" w14:textId="77777777" w:rsidR="00FA4E93" w:rsidRPr="00A675D2" w:rsidRDefault="005418C4" w:rsidP="00622474">
      <w:pPr>
        <w:numPr>
          <w:ilvl w:val="0"/>
          <w:numId w:val="1"/>
        </w:numPr>
        <w:spacing w:after="120" w:line="280" w:lineRule="exact"/>
        <w:ind w:left="284" w:hanging="284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Výroční zprávy</w:t>
      </w:r>
      <w:r w:rsidR="00FA4E93" w:rsidRPr="00A675D2">
        <w:rPr>
          <w:rFonts w:ascii="Arial" w:hAnsi="Arial"/>
          <w:lang w:val="cs-CZ"/>
        </w:rPr>
        <w:t xml:space="preserve"> za rok</w:t>
      </w:r>
      <w:r w:rsidR="00320A84">
        <w:rPr>
          <w:rFonts w:ascii="Arial" w:hAnsi="Arial"/>
          <w:lang w:val="cs-CZ"/>
        </w:rPr>
        <w:t>y</w:t>
      </w:r>
      <w:r w:rsidR="00FA4E93" w:rsidRPr="00A675D2">
        <w:rPr>
          <w:rFonts w:ascii="Arial" w:hAnsi="Arial"/>
          <w:lang w:val="cs-CZ"/>
        </w:rPr>
        <w:t xml:space="preserve"> </w:t>
      </w:r>
      <w:r w:rsidR="00D67B55">
        <w:rPr>
          <w:rFonts w:ascii="Arial" w:hAnsi="Arial"/>
          <w:lang w:val="cs-CZ"/>
        </w:rPr>
        <w:t>2021, 2022</w:t>
      </w:r>
      <w:r w:rsidR="00A404A5">
        <w:rPr>
          <w:rFonts w:ascii="Arial" w:hAnsi="Arial"/>
          <w:lang w:val="cs-CZ"/>
        </w:rPr>
        <w:t>, 2023</w:t>
      </w:r>
      <w:r w:rsidR="00320A84">
        <w:rPr>
          <w:rFonts w:ascii="Arial" w:hAnsi="Arial"/>
          <w:lang w:val="cs-CZ"/>
        </w:rPr>
        <w:t xml:space="preserve"> </w:t>
      </w:r>
    </w:p>
    <w:p w14:paraId="2989DFF7" w14:textId="77777777" w:rsidR="005A6780" w:rsidRPr="00A675D2" w:rsidRDefault="00D3330A" w:rsidP="00622474">
      <w:pPr>
        <w:numPr>
          <w:ilvl w:val="0"/>
          <w:numId w:val="1"/>
        </w:numPr>
        <w:spacing w:after="120" w:line="280" w:lineRule="exact"/>
        <w:ind w:left="284" w:hanging="284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Účetní závěrky</w:t>
      </w:r>
      <w:r w:rsidR="005A6780" w:rsidRPr="00A675D2">
        <w:rPr>
          <w:rFonts w:ascii="Arial" w:hAnsi="Arial"/>
          <w:lang w:val="cs-CZ"/>
        </w:rPr>
        <w:t xml:space="preserve"> </w:t>
      </w:r>
      <w:r w:rsidRPr="00A675D2">
        <w:rPr>
          <w:rFonts w:ascii="Arial" w:hAnsi="Arial"/>
          <w:lang w:val="cs-CZ"/>
        </w:rPr>
        <w:t>za rok</w:t>
      </w:r>
      <w:r>
        <w:rPr>
          <w:rFonts w:ascii="Arial" w:hAnsi="Arial"/>
          <w:lang w:val="cs-CZ"/>
        </w:rPr>
        <w:t>y</w:t>
      </w:r>
      <w:r w:rsidRPr="00A675D2">
        <w:rPr>
          <w:rFonts w:ascii="Arial" w:hAnsi="Arial"/>
          <w:lang w:val="cs-CZ"/>
        </w:rPr>
        <w:t xml:space="preserve"> </w:t>
      </w:r>
      <w:r w:rsidR="00D67B55">
        <w:rPr>
          <w:rFonts w:ascii="Arial" w:hAnsi="Arial"/>
          <w:lang w:val="cs-CZ"/>
        </w:rPr>
        <w:t>2021, 2022</w:t>
      </w:r>
      <w:r w:rsidR="00A404A5">
        <w:rPr>
          <w:rFonts w:ascii="Arial" w:hAnsi="Arial"/>
          <w:lang w:val="cs-CZ"/>
        </w:rPr>
        <w:t>, 2023</w:t>
      </w:r>
      <w:r w:rsidR="00D86D96" w:rsidRPr="00D86D96">
        <w:rPr>
          <w:rFonts w:ascii="Arial" w:hAnsi="Arial"/>
          <w:lang w:val="cs-CZ"/>
        </w:rPr>
        <w:t xml:space="preserve"> </w:t>
      </w:r>
      <w:r w:rsidR="00D86D96">
        <w:rPr>
          <w:rFonts w:ascii="Arial" w:hAnsi="Arial"/>
          <w:lang w:val="cs-CZ"/>
        </w:rPr>
        <w:t>a zprávy</w:t>
      </w:r>
      <w:r w:rsidR="00D86D96" w:rsidRPr="00A675D2">
        <w:rPr>
          <w:rFonts w:ascii="Arial" w:hAnsi="Arial"/>
          <w:lang w:val="cs-CZ"/>
        </w:rPr>
        <w:t xml:space="preserve"> auditora </w:t>
      </w:r>
      <w:r w:rsidR="00D86D96">
        <w:rPr>
          <w:rFonts w:ascii="Arial" w:hAnsi="Arial"/>
          <w:lang w:val="cs-CZ"/>
        </w:rPr>
        <w:t>o ověření těchto účetních závěrek</w:t>
      </w:r>
    </w:p>
    <w:p w14:paraId="2961C705" w14:textId="77777777" w:rsidR="00D3330A" w:rsidRPr="00A675D2" w:rsidRDefault="00D3330A" w:rsidP="00622474">
      <w:pPr>
        <w:numPr>
          <w:ilvl w:val="0"/>
          <w:numId w:val="1"/>
        </w:numPr>
        <w:spacing w:after="120" w:line="280" w:lineRule="exact"/>
        <w:ind w:left="284" w:right="41" w:hanging="284"/>
        <w:jc w:val="both"/>
        <w:rPr>
          <w:rFonts w:ascii="Arial" w:hAnsi="Arial"/>
          <w:lang w:val="cs-CZ"/>
        </w:rPr>
      </w:pPr>
      <w:r w:rsidRPr="00A675D2">
        <w:rPr>
          <w:rFonts w:ascii="Arial" w:hAnsi="Arial"/>
          <w:lang w:val="cs-CZ"/>
        </w:rPr>
        <w:t>Schválení řádných účetních závěrek za rok</w:t>
      </w:r>
      <w:r>
        <w:rPr>
          <w:rFonts w:ascii="Arial" w:hAnsi="Arial"/>
          <w:lang w:val="cs-CZ"/>
        </w:rPr>
        <w:t>y</w:t>
      </w:r>
      <w:r w:rsidRPr="00A675D2">
        <w:rPr>
          <w:rFonts w:ascii="Arial" w:hAnsi="Arial"/>
          <w:lang w:val="cs-CZ"/>
        </w:rPr>
        <w:t xml:space="preserve"> </w:t>
      </w:r>
      <w:r w:rsidR="00D67B55">
        <w:rPr>
          <w:rFonts w:ascii="Arial" w:hAnsi="Arial"/>
          <w:lang w:val="cs-CZ"/>
        </w:rPr>
        <w:t>2021, 2022</w:t>
      </w:r>
      <w:r w:rsidR="00A404A5">
        <w:rPr>
          <w:rFonts w:ascii="Arial" w:hAnsi="Arial"/>
          <w:lang w:val="cs-CZ"/>
        </w:rPr>
        <w:t>, 2023</w:t>
      </w:r>
      <w:r w:rsidRPr="00A675D2">
        <w:rPr>
          <w:rFonts w:ascii="Arial" w:hAnsi="Arial"/>
          <w:lang w:val="cs-CZ"/>
        </w:rPr>
        <w:t xml:space="preserve"> a rozhodnutí o hospodářském výsledku</w:t>
      </w:r>
    </w:p>
    <w:p w14:paraId="271CDED0" w14:textId="77777777" w:rsidR="00181225" w:rsidRDefault="00181225" w:rsidP="00622474">
      <w:pPr>
        <w:numPr>
          <w:ilvl w:val="0"/>
          <w:numId w:val="1"/>
        </w:numPr>
        <w:spacing w:after="120" w:line="280" w:lineRule="exact"/>
        <w:ind w:left="284" w:right="41" w:hanging="284"/>
        <w:jc w:val="both"/>
        <w:rPr>
          <w:rFonts w:ascii="Arial" w:hAnsi="Arial"/>
          <w:lang w:val="cs-CZ"/>
        </w:rPr>
      </w:pPr>
      <w:r w:rsidRPr="00A675D2">
        <w:rPr>
          <w:rFonts w:ascii="Arial" w:hAnsi="Arial"/>
          <w:lang w:val="cs-CZ"/>
        </w:rPr>
        <w:t>Určení osoby auditora dle § 17 zá</w:t>
      </w:r>
      <w:r w:rsidR="00991E2C" w:rsidRPr="00A675D2">
        <w:rPr>
          <w:rFonts w:ascii="Arial" w:hAnsi="Arial"/>
          <w:lang w:val="cs-CZ"/>
        </w:rPr>
        <w:t>kona č. 93/2009 Sb. o auditorech</w:t>
      </w:r>
    </w:p>
    <w:p w14:paraId="199C9CCB" w14:textId="77777777" w:rsidR="005776C0" w:rsidRPr="00A675D2" w:rsidRDefault="005776C0" w:rsidP="00622474">
      <w:pPr>
        <w:numPr>
          <w:ilvl w:val="0"/>
          <w:numId w:val="1"/>
        </w:numPr>
        <w:spacing w:after="120" w:line="280" w:lineRule="exact"/>
        <w:ind w:left="284" w:right="41" w:hanging="284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Informování akcionářů o stavu dluhů společnosti </w:t>
      </w:r>
      <w:r w:rsidR="00B650FC">
        <w:rPr>
          <w:rFonts w:ascii="Arial" w:hAnsi="Arial"/>
          <w:lang w:val="cs-CZ"/>
        </w:rPr>
        <w:t>z</w:t>
      </w:r>
      <w:r w:rsidR="00DE3D5C">
        <w:rPr>
          <w:rFonts w:ascii="Arial" w:hAnsi="Arial"/>
          <w:lang w:val="cs-CZ"/>
        </w:rPr>
        <w:t> půjček/</w:t>
      </w:r>
      <w:r w:rsidR="00B650FC">
        <w:rPr>
          <w:rFonts w:ascii="Arial" w:hAnsi="Arial"/>
          <w:lang w:val="cs-CZ"/>
        </w:rPr>
        <w:t>zápůjček</w:t>
      </w:r>
    </w:p>
    <w:p w14:paraId="2837D94F" w14:textId="77777777" w:rsidR="00181225" w:rsidRPr="00A675D2" w:rsidRDefault="00181225" w:rsidP="00622474">
      <w:pPr>
        <w:numPr>
          <w:ilvl w:val="0"/>
          <w:numId w:val="1"/>
        </w:numPr>
        <w:spacing w:after="120" w:line="280" w:lineRule="exact"/>
        <w:ind w:left="284" w:right="41" w:hanging="284"/>
        <w:jc w:val="both"/>
        <w:rPr>
          <w:rFonts w:ascii="Arial" w:hAnsi="Arial"/>
          <w:lang w:val="cs-CZ"/>
        </w:rPr>
      </w:pPr>
      <w:r w:rsidRPr="00A675D2">
        <w:rPr>
          <w:rFonts w:ascii="Arial" w:hAnsi="Arial"/>
          <w:lang w:val="cs-CZ"/>
        </w:rPr>
        <w:t>Závěr</w:t>
      </w:r>
      <w:r w:rsidR="00A942E9">
        <w:rPr>
          <w:rFonts w:ascii="Arial" w:hAnsi="Arial"/>
          <w:lang w:val="cs-CZ"/>
        </w:rPr>
        <w:t xml:space="preserve">   </w:t>
      </w:r>
    </w:p>
    <w:p w14:paraId="01988312" w14:textId="77777777" w:rsidR="00FF6381" w:rsidRDefault="00FF6381" w:rsidP="00622474">
      <w:pPr>
        <w:pStyle w:val="Zkladntext21"/>
        <w:spacing w:line="280" w:lineRule="exact"/>
        <w:ind w:firstLine="0"/>
        <w:rPr>
          <w:rFonts w:cs="Arial"/>
        </w:rPr>
      </w:pPr>
    </w:p>
    <w:p w14:paraId="52E8F512" w14:textId="77777777" w:rsidR="00A675D2" w:rsidRDefault="00A675D2" w:rsidP="00622474">
      <w:pPr>
        <w:pStyle w:val="Zkladntext21"/>
        <w:spacing w:line="280" w:lineRule="exact"/>
        <w:ind w:firstLine="0"/>
        <w:rPr>
          <w:rFonts w:cs="Arial"/>
        </w:rPr>
      </w:pPr>
    </w:p>
    <w:p w14:paraId="4E0EA1D6" w14:textId="77777777" w:rsidR="00D3330A" w:rsidRPr="00A675D2" w:rsidRDefault="00D3330A" w:rsidP="00622474">
      <w:pPr>
        <w:pStyle w:val="Zkladntext21"/>
        <w:spacing w:line="280" w:lineRule="exact"/>
        <w:ind w:firstLine="0"/>
        <w:rPr>
          <w:rFonts w:cs="Arial"/>
        </w:rPr>
      </w:pPr>
    </w:p>
    <w:p w14:paraId="22635C12" w14:textId="77777777" w:rsidR="00FF6381" w:rsidRPr="00A675D2" w:rsidRDefault="00FF6381" w:rsidP="00622474">
      <w:pPr>
        <w:pStyle w:val="Zkladntext21"/>
        <w:spacing w:line="280" w:lineRule="exact"/>
        <w:ind w:firstLine="0"/>
        <w:rPr>
          <w:rFonts w:cs="Arial"/>
        </w:rPr>
      </w:pPr>
      <w:r w:rsidRPr="00A675D2">
        <w:rPr>
          <w:rFonts w:cs="Arial"/>
        </w:rPr>
        <w:t xml:space="preserve">Registrace akcionářů bude probíhat od </w:t>
      </w:r>
      <w:r w:rsidR="00A404A5">
        <w:rPr>
          <w:rFonts w:cs="Arial"/>
        </w:rPr>
        <w:t>9.15</w:t>
      </w:r>
      <w:r w:rsidRPr="00A675D2">
        <w:rPr>
          <w:rFonts w:cs="Arial"/>
        </w:rPr>
        <w:t xml:space="preserve"> hod. do </w:t>
      </w:r>
      <w:r w:rsidR="00A404A5">
        <w:rPr>
          <w:rFonts w:cs="Arial"/>
        </w:rPr>
        <w:t>9:3</w:t>
      </w:r>
      <w:r w:rsidR="00D67B55">
        <w:rPr>
          <w:rFonts w:cs="Arial"/>
        </w:rPr>
        <w:t>0</w:t>
      </w:r>
      <w:r w:rsidRPr="00A675D2">
        <w:rPr>
          <w:rFonts w:cs="Arial"/>
        </w:rPr>
        <w:t xml:space="preserve"> hod. v místě a v den konání valné hromady.</w:t>
      </w:r>
    </w:p>
    <w:p w14:paraId="58CFE366" w14:textId="77777777" w:rsidR="00092B09" w:rsidRPr="00AA00A2" w:rsidRDefault="00092B09" w:rsidP="00622474">
      <w:pPr>
        <w:pStyle w:val="Zkladntext21"/>
        <w:spacing w:after="120" w:line="280" w:lineRule="exact"/>
        <w:ind w:firstLine="0"/>
        <w:rPr>
          <w:rFonts w:cs="Arial"/>
          <w:b/>
        </w:rPr>
      </w:pPr>
      <w:r w:rsidRPr="00A675D2">
        <w:rPr>
          <w:rFonts w:cs="Arial"/>
        </w:rPr>
        <w:t>Rozhodným dnem k účasti na valné hromadě je desátý pracovní den před konáním valné hromady.</w:t>
      </w:r>
      <w:r w:rsidRPr="00A675D2">
        <w:t xml:space="preserve"> Význam rozhodného dne spočívá v tom, že právo účastnit se valné hromady a vykonávat na ní práva akcionáře včetně hlasování má osoba vedená jako akcionář v seznamu akcionářů společnosti k rozhodnému dni.</w:t>
      </w:r>
      <w:r w:rsidRPr="00A675D2">
        <w:rPr>
          <w:rFonts w:cs="Arial"/>
        </w:rPr>
        <w:t xml:space="preserve"> </w:t>
      </w:r>
      <w:r w:rsidRPr="00AA00A2">
        <w:rPr>
          <w:rFonts w:cs="Arial"/>
          <w:b/>
        </w:rPr>
        <w:t xml:space="preserve">Akcionář se účastní valné hromady osobně nebo v zastoupení </w:t>
      </w:r>
      <w:r w:rsidRPr="00D3330A">
        <w:rPr>
          <w:rFonts w:cs="Arial"/>
          <w:b/>
          <w:u w:val="single"/>
        </w:rPr>
        <w:t>na základě písemné plné moci s úředně ověřeným podpisem zmocnitele</w:t>
      </w:r>
      <w:r w:rsidRPr="00AA00A2">
        <w:rPr>
          <w:rFonts w:cs="Arial"/>
          <w:b/>
        </w:rPr>
        <w:t>, z níž musí vyplývat, zda byla udělena pro zastoupení na jedné nebo na více valných hromadách.</w:t>
      </w:r>
      <w:r w:rsidRPr="00AA00A2">
        <w:rPr>
          <w:b/>
        </w:rPr>
        <w:t xml:space="preserve"> </w:t>
      </w:r>
      <w:r w:rsidRPr="00AA00A2">
        <w:rPr>
          <w:rFonts w:cs="Arial"/>
          <w:b/>
        </w:rPr>
        <w:t>Při zápisu do listiny přítomných je každá fyzická osoba povinna předložit platný průkaz totožnosti. Akcionář, právnická osoba, je navíc povinen předložit výpis z obchodního rejstříku popř. obdobné evidence, který nesmí být starší tří měsíců.</w:t>
      </w:r>
    </w:p>
    <w:p w14:paraId="3A53971F" w14:textId="77777777" w:rsidR="00092B09" w:rsidRDefault="00092B09" w:rsidP="00622474">
      <w:pPr>
        <w:pStyle w:val="Zkladntext21"/>
        <w:spacing w:after="120" w:line="280" w:lineRule="exact"/>
        <w:ind w:firstLine="0"/>
        <w:rPr>
          <w:rFonts w:cs="Arial"/>
        </w:rPr>
      </w:pPr>
    </w:p>
    <w:p w14:paraId="33D95CA6" w14:textId="77777777" w:rsidR="00A675D2" w:rsidRDefault="00A675D2" w:rsidP="00622474">
      <w:pPr>
        <w:pStyle w:val="Zkladntext21"/>
        <w:spacing w:after="120" w:line="280" w:lineRule="exact"/>
        <w:ind w:firstLine="0"/>
        <w:rPr>
          <w:rFonts w:cs="Arial"/>
        </w:rPr>
      </w:pPr>
    </w:p>
    <w:p w14:paraId="34C424B9" w14:textId="77777777" w:rsidR="00A675D2" w:rsidRDefault="00A675D2" w:rsidP="00622474">
      <w:pPr>
        <w:pStyle w:val="Zkladntext21"/>
        <w:spacing w:after="120" w:line="280" w:lineRule="exact"/>
        <w:ind w:firstLine="0"/>
        <w:rPr>
          <w:rFonts w:cs="Arial"/>
        </w:rPr>
      </w:pPr>
    </w:p>
    <w:p w14:paraId="63C18D92" w14:textId="77777777" w:rsidR="00AA00A2" w:rsidRDefault="00AA00A2" w:rsidP="00622474">
      <w:pPr>
        <w:pStyle w:val="Zkladntext21"/>
        <w:spacing w:after="120" w:line="280" w:lineRule="exact"/>
        <w:ind w:firstLine="0"/>
        <w:rPr>
          <w:rFonts w:cs="Arial"/>
        </w:rPr>
      </w:pPr>
    </w:p>
    <w:p w14:paraId="1360F501" w14:textId="77777777" w:rsidR="00AA00A2" w:rsidRDefault="00AA00A2" w:rsidP="00622474">
      <w:pPr>
        <w:pStyle w:val="Zkladntext21"/>
        <w:spacing w:after="120" w:line="280" w:lineRule="exact"/>
        <w:ind w:firstLine="0"/>
        <w:rPr>
          <w:rFonts w:cs="Arial"/>
        </w:rPr>
      </w:pPr>
    </w:p>
    <w:p w14:paraId="09A3EE79" w14:textId="77777777" w:rsidR="00622474" w:rsidRDefault="00622474" w:rsidP="00622474">
      <w:pPr>
        <w:pStyle w:val="Zkladntext21"/>
        <w:spacing w:after="120" w:line="280" w:lineRule="exact"/>
        <w:ind w:firstLine="0"/>
        <w:rPr>
          <w:rFonts w:cs="Arial"/>
        </w:rPr>
      </w:pPr>
    </w:p>
    <w:p w14:paraId="710059E4" w14:textId="77777777" w:rsidR="00622474" w:rsidRDefault="00622474" w:rsidP="00622474">
      <w:pPr>
        <w:pStyle w:val="Zkladntext21"/>
        <w:spacing w:after="120" w:line="280" w:lineRule="exact"/>
        <w:ind w:firstLine="0"/>
        <w:rPr>
          <w:rFonts w:cs="Arial"/>
        </w:rPr>
      </w:pPr>
    </w:p>
    <w:p w14:paraId="35857A0A" w14:textId="77777777" w:rsidR="00AA00A2" w:rsidRPr="00A675D2" w:rsidRDefault="00AA00A2" w:rsidP="00622474">
      <w:pPr>
        <w:pStyle w:val="Zkladntext21"/>
        <w:spacing w:after="120" w:line="280" w:lineRule="exact"/>
        <w:ind w:firstLine="0"/>
        <w:rPr>
          <w:rFonts w:cs="Arial"/>
        </w:rPr>
      </w:pPr>
    </w:p>
    <w:p w14:paraId="5CA78EFF" w14:textId="77777777" w:rsidR="00092B09" w:rsidRPr="00A675D2" w:rsidRDefault="00092B09" w:rsidP="00622474">
      <w:pPr>
        <w:pStyle w:val="Zkladntext21"/>
        <w:spacing w:line="280" w:lineRule="exact"/>
        <w:ind w:firstLine="0"/>
        <w:rPr>
          <w:u w:val="single"/>
        </w:rPr>
      </w:pPr>
      <w:r w:rsidRPr="00A675D2">
        <w:rPr>
          <w:u w:val="single"/>
        </w:rPr>
        <w:lastRenderedPageBreak/>
        <w:t>K bodu č. 1 pořadu jednání:</w:t>
      </w:r>
    </w:p>
    <w:p w14:paraId="2325C3C6" w14:textId="77777777" w:rsidR="00092B09" w:rsidRPr="00A675D2" w:rsidRDefault="00092B09" w:rsidP="00622474">
      <w:pPr>
        <w:pStyle w:val="Zkladntext21"/>
        <w:spacing w:after="240" w:line="280" w:lineRule="exact"/>
        <w:ind w:firstLine="0"/>
      </w:pPr>
      <w:r w:rsidRPr="00A675D2">
        <w:t xml:space="preserve">Vyjádření představenstva společnosti: </w:t>
      </w:r>
      <w:r w:rsidRPr="00A675D2">
        <w:rPr>
          <w:i/>
        </w:rPr>
        <w:t>Představenstvo společnosti k tomuto návrhu nenavrhuje žádné konkrétní osoby jako členy orgánů valné hromady společnosti a ponechává se proto na akcionářích, aby členy orgánů valné hromady navrhli.</w:t>
      </w:r>
    </w:p>
    <w:p w14:paraId="7AD4556C" w14:textId="77777777" w:rsidR="00092B09" w:rsidRPr="00A675D2" w:rsidRDefault="00092B09" w:rsidP="00622474">
      <w:pPr>
        <w:pStyle w:val="Zkladntext21"/>
        <w:spacing w:line="280" w:lineRule="exact"/>
        <w:ind w:firstLine="0"/>
        <w:rPr>
          <w:u w:val="single"/>
        </w:rPr>
      </w:pPr>
      <w:r w:rsidRPr="00A675D2">
        <w:rPr>
          <w:u w:val="single"/>
        </w:rPr>
        <w:t>K bodu č. 2 pořadu jednání:</w:t>
      </w:r>
    </w:p>
    <w:p w14:paraId="3EDE0FEA" w14:textId="77777777" w:rsidR="00092B09" w:rsidRPr="00A675D2" w:rsidRDefault="00D3330A" w:rsidP="00622474">
      <w:pPr>
        <w:pStyle w:val="Zkladntext21"/>
        <w:spacing w:after="240" w:line="280" w:lineRule="exact"/>
        <w:ind w:firstLine="0"/>
        <w:rPr>
          <w:i/>
        </w:rPr>
      </w:pPr>
      <w:r w:rsidRPr="00A675D2">
        <w:t xml:space="preserve">Vyjádření představenstva společnosti: </w:t>
      </w:r>
      <w:r w:rsidRPr="00A675D2">
        <w:rPr>
          <w:i/>
        </w:rPr>
        <w:t xml:space="preserve">Představenstvo společnosti seznámí valnou hromadu s výročními zprávami </w:t>
      </w:r>
      <w:r w:rsidRPr="00D3330A">
        <w:rPr>
          <w:i/>
        </w:rPr>
        <w:t xml:space="preserve">za roky </w:t>
      </w:r>
      <w:r w:rsidR="00D67B55" w:rsidRPr="00D67B55">
        <w:rPr>
          <w:i/>
        </w:rPr>
        <w:t>2021, 2022</w:t>
      </w:r>
      <w:r w:rsidR="00A404A5">
        <w:rPr>
          <w:i/>
        </w:rPr>
        <w:t>, 2023</w:t>
      </w:r>
    </w:p>
    <w:p w14:paraId="68154B43" w14:textId="77777777" w:rsidR="00092B09" w:rsidRPr="00A675D2" w:rsidRDefault="00092B09" w:rsidP="00622474">
      <w:pPr>
        <w:pStyle w:val="Zkladntext21"/>
        <w:spacing w:line="280" w:lineRule="exact"/>
        <w:ind w:firstLine="0"/>
        <w:rPr>
          <w:u w:val="single"/>
        </w:rPr>
      </w:pPr>
      <w:r w:rsidRPr="00A675D2">
        <w:rPr>
          <w:u w:val="single"/>
        </w:rPr>
        <w:t>K bodu č. 3 pořadu jednání:</w:t>
      </w:r>
    </w:p>
    <w:p w14:paraId="13F53F94" w14:textId="77777777" w:rsidR="00D3330A" w:rsidRPr="00A675D2" w:rsidRDefault="00D3330A" w:rsidP="00622474">
      <w:pPr>
        <w:pStyle w:val="Zkladntext21"/>
        <w:spacing w:line="280" w:lineRule="exact"/>
        <w:ind w:firstLine="0"/>
      </w:pPr>
      <w:r w:rsidRPr="00A675D2">
        <w:t xml:space="preserve">Vyjádření představenstva společnosti: </w:t>
      </w:r>
      <w:r w:rsidRPr="00A675D2">
        <w:rPr>
          <w:i/>
        </w:rPr>
        <w:t xml:space="preserve">Představenstvo společnosti seznámí valnou hromadu s údaji z účetních závěrek </w:t>
      </w:r>
      <w:r w:rsidRPr="00D3330A">
        <w:rPr>
          <w:i/>
        </w:rPr>
        <w:t xml:space="preserve">za roky </w:t>
      </w:r>
      <w:r w:rsidR="005C16AC" w:rsidRPr="00D67B55">
        <w:rPr>
          <w:i/>
        </w:rPr>
        <w:t>2021, 2022</w:t>
      </w:r>
      <w:r w:rsidR="00470F41">
        <w:rPr>
          <w:i/>
        </w:rPr>
        <w:t>, 2023</w:t>
      </w:r>
      <w:r w:rsidR="003D7A59" w:rsidRPr="003D7A59">
        <w:t xml:space="preserve"> </w:t>
      </w:r>
      <w:r w:rsidR="003D7A59" w:rsidRPr="003D7A59">
        <w:rPr>
          <w:i/>
        </w:rPr>
        <w:t xml:space="preserve">a </w:t>
      </w:r>
      <w:r w:rsidR="003D7A59">
        <w:rPr>
          <w:i/>
        </w:rPr>
        <w:t xml:space="preserve">se </w:t>
      </w:r>
      <w:r w:rsidR="003D7A59" w:rsidRPr="003D7A59">
        <w:rPr>
          <w:i/>
        </w:rPr>
        <w:t>zpráv</w:t>
      </w:r>
      <w:r w:rsidR="003D7A59">
        <w:rPr>
          <w:i/>
        </w:rPr>
        <w:t>ami</w:t>
      </w:r>
      <w:r w:rsidR="003D7A59" w:rsidRPr="003D7A59">
        <w:rPr>
          <w:i/>
        </w:rPr>
        <w:t xml:space="preserve"> auditora o ověření těchto účetních závěrek</w:t>
      </w:r>
      <w:r w:rsidRPr="00A675D2">
        <w:rPr>
          <w:i/>
        </w:rPr>
        <w:t>.</w:t>
      </w:r>
      <w:r w:rsidRPr="00BF196F">
        <w:rPr>
          <w:i/>
        </w:rPr>
        <w:t xml:space="preserve"> </w:t>
      </w:r>
      <w:r w:rsidR="002F01CB">
        <w:rPr>
          <w:i/>
        </w:rPr>
        <w:t>Akcionářům budou předloženy</w:t>
      </w:r>
      <w:r w:rsidR="003A6697">
        <w:rPr>
          <w:i/>
        </w:rPr>
        <w:t xml:space="preserve"> výsledky</w:t>
      </w:r>
      <w:r w:rsidR="00BF196F" w:rsidRPr="00BF196F">
        <w:rPr>
          <w:i/>
        </w:rPr>
        <w:t xml:space="preserve"> přezkoumání účetních závěrek za roky </w:t>
      </w:r>
      <w:r w:rsidR="005C16AC" w:rsidRPr="00D67B55">
        <w:rPr>
          <w:i/>
        </w:rPr>
        <w:t>2021, 2022</w:t>
      </w:r>
      <w:r w:rsidR="00BF196F">
        <w:rPr>
          <w:i/>
        </w:rPr>
        <w:t>,</w:t>
      </w:r>
      <w:r w:rsidR="00470F41">
        <w:rPr>
          <w:i/>
        </w:rPr>
        <w:t xml:space="preserve"> 2023</w:t>
      </w:r>
      <w:r w:rsidR="00BF196F">
        <w:rPr>
          <w:i/>
        </w:rPr>
        <w:t xml:space="preserve"> </w:t>
      </w:r>
      <w:r w:rsidR="002F01CB">
        <w:rPr>
          <w:i/>
        </w:rPr>
        <w:t>jak toto přezkoumání</w:t>
      </w:r>
      <w:r w:rsidR="00BF196F">
        <w:rPr>
          <w:i/>
        </w:rPr>
        <w:t xml:space="preserve"> učinila dozorčí rada. </w:t>
      </w:r>
    </w:p>
    <w:p w14:paraId="4294DC5E" w14:textId="77777777" w:rsidR="00D3330A" w:rsidRPr="00A675D2" w:rsidRDefault="00D3330A" w:rsidP="00622474">
      <w:pPr>
        <w:pStyle w:val="Zkladntext21"/>
        <w:spacing w:line="280" w:lineRule="exact"/>
        <w:ind w:firstLine="0"/>
      </w:pPr>
      <w:r w:rsidRPr="00A675D2">
        <w:t xml:space="preserve">Hlavní </w:t>
      </w:r>
      <w:r w:rsidR="005C16AC">
        <w:t>údaje účetní závěrky za rok 2021</w:t>
      </w:r>
      <w:r w:rsidRPr="00A675D2">
        <w:t xml:space="preserve"> v tis. Kč – aktiva netto celkem </w:t>
      </w:r>
      <w:r w:rsidR="005C16AC">
        <w:t>166 991</w:t>
      </w:r>
      <w:r w:rsidRPr="00A675D2">
        <w:t xml:space="preserve"> tis. Kč, pasiva celkem </w:t>
      </w:r>
      <w:r w:rsidR="005C16AC">
        <w:t>166 991</w:t>
      </w:r>
      <w:r w:rsidR="004E23C1" w:rsidRPr="00A675D2">
        <w:t xml:space="preserve"> </w:t>
      </w:r>
      <w:r w:rsidR="002F01CB">
        <w:t>tis</w:t>
      </w:r>
      <w:r w:rsidRPr="00A675D2">
        <w:t>.</w:t>
      </w:r>
      <w:r w:rsidR="002F01CB">
        <w:t xml:space="preserve"> </w:t>
      </w:r>
      <w:r w:rsidRPr="00A675D2">
        <w:t>Kč, výsledek hospodaření za účetní období (+/-) -</w:t>
      </w:r>
      <w:r w:rsidR="005C16AC">
        <w:t>2 455</w:t>
      </w:r>
      <w:r w:rsidR="002F01CB">
        <w:t xml:space="preserve"> tis</w:t>
      </w:r>
      <w:r w:rsidRPr="00A675D2">
        <w:t>.</w:t>
      </w:r>
      <w:r w:rsidR="002F01CB">
        <w:t xml:space="preserve"> </w:t>
      </w:r>
      <w:r w:rsidRPr="00A675D2">
        <w:t>Kč.</w:t>
      </w:r>
      <w:r w:rsidR="005C16AC">
        <w:t xml:space="preserve"> </w:t>
      </w:r>
    </w:p>
    <w:p w14:paraId="63D6E68D" w14:textId="77777777" w:rsidR="00D3330A" w:rsidRPr="00A675D2" w:rsidRDefault="00D3330A" w:rsidP="00622474">
      <w:pPr>
        <w:pStyle w:val="Zkladntext21"/>
        <w:spacing w:line="280" w:lineRule="exact"/>
        <w:ind w:firstLine="0"/>
      </w:pPr>
      <w:r w:rsidRPr="00A675D2">
        <w:t>Hlavní údaje účetní závěrky z</w:t>
      </w:r>
      <w:r w:rsidR="005C16AC">
        <w:t>a rok 2022</w:t>
      </w:r>
      <w:r w:rsidRPr="00A675D2">
        <w:t xml:space="preserve"> v tis. Kč – aktiva netto celkem </w:t>
      </w:r>
      <w:r w:rsidR="005C16AC">
        <w:t>171 066</w:t>
      </w:r>
      <w:r w:rsidRPr="00A675D2">
        <w:t xml:space="preserve"> tis. Kč, pasiva celkem </w:t>
      </w:r>
      <w:r w:rsidR="005C16AC">
        <w:t>171 066</w:t>
      </w:r>
      <w:r w:rsidRPr="00A675D2">
        <w:t xml:space="preserve"> tis. Kč, výsledek hospo</w:t>
      </w:r>
      <w:r w:rsidR="00883EA8">
        <w:t>daření za účetní období (+/-) -</w:t>
      </w:r>
      <w:r w:rsidR="005C16AC">
        <w:t>3 347</w:t>
      </w:r>
      <w:r w:rsidRPr="00A675D2">
        <w:t xml:space="preserve"> tis. Kč.</w:t>
      </w:r>
    </w:p>
    <w:p w14:paraId="46579859" w14:textId="77777777" w:rsidR="00092B09" w:rsidRPr="00A675D2" w:rsidRDefault="00A404A5" w:rsidP="00622474">
      <w:pPr>
        <w:pStyle w:val="Zkladntext21"/>
        <w:spacing w:after="240" w:line="280" w:lineRule="exact"/>
        <w:ind w:firstLine="0"/>
      </w:pPr>
      <w:r w:rsidRPr="00A675D2">
        <w:t>Hlavní údaje účetní závěrky z</w:t>
      </w:r>
      <w:r>
        <w:t>a rok 2023</w:t>
      </w:r>
      <w:r w:rsidRPr="00A675D2">
        <w:t xml:space="preserve"> v tis. Kč – aktiva netto celkem </w:t>
      </w:r>
      <w:r w:rsidR="00925C49" w:rsidRPr="00925C49">
        <w:t>170</w:t>
      </w:r>
      <w:r w:rsidR="00925C49">
        <w:t xml:space="preserve"> </w:t>
      </w:r>
      <w:r w:rsidR="00925C49" w:rsidRPr="00925C49">
        <w:t>486</w:t>
      </w:r>
      <w:r w:rsidRPr="00A675D2">
        <w:t xml:space="preserve"> tis. Kč, pasiva celkem </w:t>
      </w:r>
      <w:r w:rsidR="00925C49" w:rsidRPr="00925C49">
        <w:t>170</w:t>
      </w:r>
      <w:r w:rsidR="00925C49">
        <w:t xml:space="preserve"> </w:t>
      </w:r>
      <w:r w:rsidR="00925C49" w:rsidRPr="00925C49">
        <w:t xml:space="preserve">486 </w:t>
      </w:r>
      <w:r w:rsidRPr="00A675D2">
        <w:t>tis. Kč, výsledek hospo</w:t>
      </w:r>
      <w:r>
        <w:t xml:space="preserve">daření za účetní období (+/-) </w:t>
      </w:r>
      <w:r w:rsidR="00925C49">
        <w:t xml:space="preserve">– </w:t>
      </w:r>
      <w:r w:rsidR="00925C49" w:rsidRPr="00925C49">
        <w:t>2</w:t>
      </w:r>
      <w:r w:rsidR="00925C49">
        <w:t xml:space="preserve"> </w:t>
      </w:r>
      <w:r w:rsidR="00925C49" w:rsidRPr="00925C49">
        <w:t>945</w:t>
      </w:r>
      <w:r w:rsidRPr="00A675D2">
        <w:t xml:space="preserve"> tis. Kč.</w:t>
      </w:r>
    </w:p>
    <w:p w14:paraId="297C621B" w14:textId="77777777" w:rsidR="00092B09" w:rsidRPr="00A675D2" w:rsidRDefault="00092B09" w:rsidP="00622474">
      <w:pPr>
        <w:pStyle w:val="Zkladntext21"/>
        <w:spacing w:line="280" w:lineRule="exact"/>
        <w:ind w:firstLine="0"/>
      </w:pPr>
      <w:r w:rsidRPr="00A675D2">
        <w:rPr>
          <w:u w:val="single"/>
        </w:rPr>
        <w:t>K bodu č. 4 pořadu jednání:</w:t>
      </w:r>
    </w:p>
    <w:p w14:paraId="23CC5C22" w14:textId="77777777" w:rsidR="004E23C1" w:rsidRPr="00A675D2" w:rsidRDefault="004E23C1" w:rsidP="00622474">
      <w:pPr>
        <w:pStyle w:val="Zkladntext21"/>
        <w:spacing w:line="280" w:lineRule="exact"/>
        <w:ind w:firstLine="0"/>
        <w:rPr>
          <w:i/>
        </w:rPr>
      </w:pPr>
      <w:r w:rsidRPr="00A675D2">
        <w:rPr>
          <w:i/>
        </w:rPr>
        <w:t xml:space="preserve">Představenstvo společnosti předloží valné hromadě ke schválení účetní závěrky za roky </w:t>
      </w:r>
      <w:r w:rsidR="005C16AC" w:rsidRPr="00D67B55">
        <w:rPr>
          <w:i/>
        </w:rPr>
        <w:t>2021, 2022</w:t>
      </w:r>
      <w:r w:rsidRPr="00A675D2">
        <w:rPr>
          <w:i/>
        </w:rPr>
        <w:t>,</w:t>
      </w:r>
      <w:r w:rsidR="00A404A5">
        <w:rPr>
          <w:i/>
        </w:rPr>
        <w:t xml:space="preserve"> 2023</w:t>
      </w:r>
      <w:r w:rsidRPr="00A675D2">
        <w:rPr>
          <w:i/>
        </w:rPr>
        <w:t xml:space="preserve"> když dále bude hlasováno o hospodářském výsledku, přičemž představenstvo navrhuje, aby valná hromada rozhodla, že ztráta nebude uhrazena a bude tedy převedena na účet neuhrazených ztrát minulých let.</w:t>
      </w:r>
      <w:r>
        <w:rPr>
          <w:i/>
        </w:rPr>
        <w:t xml:space="preserve"> </w:t>
      </w:r>
      <w:r w:rsidR="005C16AC">
        <w:rPr>
          <w:i/>
        </w:rPr>
        <w:t xml:space="preserve"> </w:t>
      </w:r>
    </w:p>
    <w:p w14:paraId="71F75246" w14:textId="77777777" w:rsidR="004E23C1" w:rsidRPr="00A675D2" w:rsidRDefault="004E23C1" w:rsidP="00622474">
      <w:pPr>
        <w:pStyle w:val="Zkladntext21"/>
        <w:spacing w:line="280" w:lineRule="exact"/>
        <w:ind w:firstLine="0"/>
        <w:rPr>
          <w:rFonts w:cs="Arial"/>
          <w:color w:val="000000"/>
        </w:rPr>
      </w:pPr>
      <w:r w:rsidRPr="00A675D2">
        <w:rPr>
          <w:rFonts w:cs="Arial"/>
          <w:bCs/>
        </w:rPr>
        <w:t xml:space="preserve">Návrh usnesení: </w:t>
      </w:r>
      <w:r w:rsidRPr="00A675D2">
        <w:rPr>
          <w:rFonts w:cs="Arial"/>
          <w:bCs/>
          <w:i/>
        </w:rPr>
        <w:t>Valná hromada schvaluje úče</w:t>
      </w:r>
      <w:r w:rsidR="0087115F">
        <w:rPr>
          <w:rFonts w:cs="Arial"/>
          <w:bCs/>
          <w:i/>
        </w:rPr>
        <w:t>tní závěrku za rok 2021</w:t>
      </w:r>
      <w:r w:rsidRPr="00A675D2">
        <w:rPr>
          <w:rFonts w:cs="Arial"/>
          <w:bCs/>
          <w:i/>
        </w:rPr>
        <w:t xml:space="preserve"> s </w:t>
      </w:r>
      <w:r w:rsidRPr="004E23C1">
        <w:rPr>
          <w:rFonts w:cs="Arial"/>
          <w:bCs/>
          <w:i/>
        </w:rPr>
        <w:t>výsledk</w:t>
      </w:r>
      <w:r>
        <w:rPr>
          <w:rFonts w:cs="Arial"/>
          <w:bCs/>
          <w:i/>
        </w:rPr>
        <w:t>em</w:t>
      </w:r>
      <w:r w:rsidRPr="004E23C1">
        <w:rPr>
          <w:rFonts w:cs="Arial"/>
          <w:bCs/>
          <w:i/>
        </w:rPr>
        <w:t xml:space="preserve"> hospodaření za účetní </w:t>
      </w:r>
      <w:r w:rsidRPr="0087115F">
        <w:rPr>
          <w:rFonts w:cs="Arial"/>
          <w:bCs/>
          <w:i/>
        </w:rPr>
        <w:t xml:space="preserve">období </w:t>
      </w:r>
      <w:r w:rsidR="0087115F" w:rsidRPr="0087115F">
        <w:rPr>
          <w:i/>
        </w:rPr>
        <w:t>-2 455</w:t>
      </w:r>
      <w:r w:rsidRPr="00A675D2">
        <w:t xml:space="preserve"> </w:t>
      </w:r>
      <w:r w:rsidRPr="00A675D2">
        <w:rPr>
          <w:rFonts w:cs="Arial"/>
          <w:bCs/>
          <w:i/>
        </w:rPr>
        <w:t xml:space="preserve">tis. Kč a rozhoduje, </w:t>
      </w:r>
      <w:r w:rsidRPr="00A675D2">
        <w:rPr>
          <w:rFonts w:cs="Arial"/>
          <w:i/>
          <w:color w:val="000000"/>
        </w:rPr>
        <w:t xml:space="preserve">že ztráta nebude uhrazena a bude tedy převedena na účet neuhrazených ztrát minulých let. </w:t>
      </w:r>
      <w:r w:rsidRPr="00A675D2">
        <w:rPr>
          <w:rFonts w:cs="Arial"/>
          <w:color w:val="000000"/>
        </w:rPr>
        <w:t>Odůvodnění usnesení: Podle názoru představenstva společnosti je navržené usnesení adekvátní obsahu účetní závěrky a hospodaření společnosti za posuzované účetní období.</w:t>
      </w:r>
    </w:p>
    <w:p w14:paraId="381C4409" w14:textId="77777777" w:rsidR="00937042" w:rsidRPr="00A675D2" w:rsidRDefault="00937042" w:rsidP="00622474">
      <w:pPr>
        <w:pStyle w:val="Zkladntext21"/>
        <w:spacing w:line="280" w:lineRule="exact"/>
        <w:ind w:firstLine="0"/>
        <w:rPr>
          <w:rFonts w:cs="Arial"/>
          <w:color w:val="000000"/>
        </w:rPr>
      </w:pPr>
      <w:r w:rsidRPr="00A675D2">
        <w:rPr>
          <w:rFonts w:cs="Arial"/>
          <w:bCs/>
        </w:rPr>
        <w:t xml:space="preserve">Návrh usnesení: </w:t>
      </w:r>
      <w:r w:rsidRPr="00A675D2">
        <w:rPr>
          <w:rFonts w:cs="Arial"/>
          <w:bCs/>
          <w:i/>
        </w:rPr>
        <w:t>Valná hromada schvaluje úče</w:t>
      </w:r>
      <w:r w:rsidR="0087115F">
        <w:rPr>
          <w:rFonts w:cs="Arial"/>
          <w:bCs/>
          <w:i/>
        </w:rPr>
        <w:t>tní závěrku za rok 2022</w:t>
      </w:r>
      <w:r w:rsidRPr="00A675D2">
        <w:rPr>
          <w:rFonts w:cs="Arial"/>
          <w:bCs/>
          <w:i/>
        </w:rPr>
        <w:t xml:space="preserve"> s </w:t>
      </w:r>
      <w:r w:rsidRPr="004E23C1">
        <w:rPr>
          <w:rFonts w:cs="Arial"/>
          <w:bCs/>
          <w:i/>
        </w:rPr>
        <w:t>výsledk</w:t>
      </w:r>
      <w:r>
        <w:rPr>
          <w:rFonts w:cs="Arial"/>
          <w:bCs/>
          <w:i/>
        </w:rPr>
        <w:t>em</w:t>
      </w:r>
      <w:r w:rsidRPr="004E23C1">
        <w:rPr>
          <w:rFonts w:cs="Arial"/>
          <w:bCs/>
          <w:i/>
        </w:rPr>
        <w:t xml:space="preserve"> hospodaření za účetní </w:t>
      </w:r>
      <w:r w:rsidRPr="0087115F">
        <w:rPr>
          <w:rFonts w:cs="Arial"/>
          <w:bCs/>
          <w:i/>
        </w:rPr>
        <w:t xml:space="preserve">období </w:t>
      </w:r>
      <w:r w:rsidR="00647AB0">
        <w:rPr>
          <w:i/>
        </w:rPr>
        <w:t>–</w:t>
      </w:r>
      <w:r w:rsidR="0087115F" w:rsidRPr="0087115F">
        <w:rPr>
          <w:i/>
        </w:rPr>
        <w:t>3 347</w:t>
      </w:r>
      <w:r w:rsidRPr="0087115F">
        <w:t xml:space="preserve"> </w:t>
      </w:r>
      <w:r w:rsidRPr="0087115F">
        <w:rPr>
          <w:rFonts w:cs="Arial"/>
          <w:bCs/>
        </w:rPr>
        <w:t>tis</w:t>
      </w:r>
      <w:r w:rsidRPr="00A675D2">
        <w:rPr>
          <w:rFonts w:cs="Arial"/>
          <w:bCs/>
          <w:i/>
        </w:rPr>
        <w:t xml:space="preserve">. Kč a rozhoduje, </w:t>
      </w:r>
      <w:r w:rsidRPr="00A675D2">
        <w:rPr>
          <w:rFonts w:cs="Arial"/>
          <w:i/>
          <w:color w:val="000000"/>
        </w:rPr>
        <w:t xml:space="preserve">že ztráta nebude uhrazena a bude tedy převedena na účet neuhrazených ztrát minulých let. </w:t>
      </w:r>
      <w:r w:rsidRPr="00A675D2">
        <w:rPr>
          <w:rFonts w:cs="Arial"/>
          <w:color w:val="000000"/>
        </w:rPr>
        <w:t>Odůvodnění usnesení: Podle názoru představenstva společnosti je navržené usnesení adekvátní obsahu účetní závěrky a hospodaření společnosti za posuzované účetní období.</w:t>
      </w:r>
    </w:p>
    <w:p w14:paraId="2F6AE9CF" w14:textId="77777777" w:rsidR="00092B09" w:rsidRPr="00A675D2" w:rsidRDefault="00A404A5" w:rsidP="00622474">
      <w:pPr>
        <w:pStyle w:val="Zkladntext21"/>
        <w:spacing w:after="240" w:line="280" w:lineRule="exact"/>
        <w:ind w:firstLine="0"/>
        <w:rPr>
          <w:rFonts w:cs="Arial"/>
          <w:color w:val="000000"/>
        </w:rPr>
      </w:pPr>
      <w:r w:rsidRPr="00A675D2">
        <w:rPr>
          <w:rFonts w:cs="Arial"/>
          <w:bCs/>
        </w:rPr>
        <w:t xml:space="preserve">Návrh usnesení: </w:t>
      </w:r>
      <w:r w:rsidRPr="00A675D2">
        <w:rPr>
          <w:rFonts w:cs="Arial"/>
          <w:bCs/>
          <w:i/>
        </w:rPr>
        <w:t>Valná hromada schvaluje úče</w:t>
      </w:r>
      <w:r>
        <w:rPr>
          <w:rFonts w:cs="Arial"/>
          <w:bCs/>
          <w:i/>
        </w:rPr>
        <w:t>tní závěrku za rok 2023</w:t>
      </w:r>
      <w:r w:rsidRPr="00A675D2">
        <w:rPr>
          <w:rFonts w:cs="Arial"/>
          <w:bCs/>
          <w:i/>
        </w:rPr>
        <w:t xml:space="preserve"> s </w:t>
      </w:r>
      <w:r w:rsidRPr="004E23C1">
        <w:rPr>
          <w:rFonts w:cs="Arial"/>
          <w:bCs/>
          <w:i/>
        </w:rPr>
        <w:t>výsledk</w:t>
      </w:r>
      <w:r>
        <w:rPr>
          <w:rFonts w:cs="Arial"/>
          <w:bCs/>
          <w:i/>
        </w:rPr>
        <w:t>em</w:t>
      </w:r>
      <w:r w:rsidRPr="004E23C1">
        <w:rPr>
          <w:rFonts w:cs="Arial"/>
          <w:bCs/>
          <w:i/>
        </w:rPr>
        <w:t xml:space="preserve"> hospodaření za účetní </w:t>
      </w:r>
      <w:r w:rsidRPr="0087115F">
        <w:rPr>
          <w:rFonts w:cs="Arial"/>
          <w:bCs/>
          <w:i/>
        </w:rPr>
        <w:t xml:space="preserve">období </w:t>
      </w:r>
      <w:r w:rsidR="00925C49">
        <w:t>–</w:t>
      </w:r>
      <w:r w:rsidR="00925C49" w:rsidRPr="00925C49">
        <w:t>2</w:t>
      </w:r>
      <w:r w:rsidR="00925C49">
        <w:t> </w:t>
      </w:r>
      <w:r w:rsidR="00925C49" w:rsidRPr="00925C49">
        <w:t>945</w:t>
      </w:r>
      <w:r w:rsidRPr="0087115F">
        <w:t xml:space="preserve"> </w:t>
      </w:r>
      <w:r w:rsidRPr="0087115F">
        <w:rPr>
          <w:rFonts w:cs="Arial"/>
          <w:bCs/>
        </w:rPr>
        <w:t>tis</w:t>
      </w:r>
      <w:r w:rsidRPr="00A675D2">
        <w:rPr>
          <w:rFonts w:cs="Arial"/>
          <w:bCs/>
          <w:i/>
        </w:rPr>
        <w:t xml:space="preserve">. Kč a rozhoduje, </w:t>
      </w:r>
      <w:r w:rsidRPr="00A675D2">
        <w:rPr>
          <w:rFonts w:cs="Arial"/>
          <w:i/>
          <w:color w:val="000000"/>
        </w:rPr>
        <w:t xml:space="preserve">že ztráta nebude uhrazena a bude tedy převedena na účet neuhrazených ztrát minulých let. </w:t>
      </w:r>
      <w:r w:rsidRPr="00A675D2">
        <w:rPr>
          <w:rFonts w:cs="Arial"/>
          <w:color w:val="000000"/>
        </w:rPr>
        <w:t>Odůvodnění usnesení: Podle názoru představenstva společnosti je navržené usnesení adekvátní obsahu účetní závěrky a hospodaření společnosti za posuzované účetní období.</w:t>
      </w:r>
    </w:p>
    <w:p w14:paraId="33986A30" w14:textId="77777777" w:rsidR="00092B09" w:rsidRPr="00A675D2" w:rsidRDefault="00092B09" w:rsidP="00622474">
      <w:pPr>
        <w:pStyle w:val="Zkladntext21"/>
        <w:spacing w:line="280" w:lineRule="exact"/>
        <w:ind w:firstLine="0"/>
        <w:rPr>
          <w:u w:val="single"/>
        </w:rPr>
      </w:pPr>
      <w:r w:rsidRPr="00A675D2">
        <w:rPr>
          <w:u w:val="single"/>
        </w:rPr>
        <w:t>K bodu č. 5 pořadu jednání:</w:t>
      </w:r>
    </w:p>
    <w:p w14:paraId="792E91EB" w14:textId="77777777" w:rsidR="00DC7984" w:rsidRPr="00A675D2" w:rsidRDefault="00092B09" w:rsidP="00622474">
      <w:pPr>
        <w:pStyle w:val="Zkladntext21"/>
        <w:spacing w:after="240" w:line="280" w:lineRule="exact"/>
        <w:ind w:firstLine="0"/>
      </w:pPr>
      <w:r w:rsidRPr="00A675D2">
        <w:t xml:space="preserve">Návrh usnesení: </w:t>
      </w:r>
      <w:r w:rsidRPr="00A675D2">
        <w:rPr>
          <w:i/>
        </w:rPr>
        <w:t xml:space="preserve">Valná hromada určuje auditorem společnosti dle § 17 zákona č. 93/2009 Sb. o auditorech </w:t>
      </w:r>
      <w:r w:rsidR="00096CC1" w:rsidRPr="00096CC1">
        <w:rPr>
          <w:i/>
        </w:rPr>
        <w:t>Ing. Viktor</w:t>
      </w:r>
      <w:r w:rsidR="00096CC1">
        <w:rPr>
          <w:i/>
        </w:rPr>
        <w:t>a Vorla</w:t>
      </w:r>
      <w:r w:rsidR="00096CC1" w:rsidRPr="00096CC1">
        <w:rPr>
          <w:i/>
        </w:rPr>
        <w:t xml:space="preserve">, </w:t>
      </w:r>
      <w:r w:rsidR="00096CC1">
        <w:rPr>
          <w:i/>
        </w:rPr>
        <w:t xml:space="preserve">se sídlem </w:t>
      </w:r>
      <w:proofErr w:type="spellStart"/>
      <w:r w:rsidR="00096CC1" w:rsidRPr="00096CC1">
        <w:rPr>
          <w:i/>
        </w:rPr>
        <w:t>Brníčská</w:t>
      </w:r>
      <w:proofErr w:type="spellEnd"/>
      <w:r w:rsidR="00096CC1" w:rsidRPr="00096CC1">
        <w:rPr>
          <w:i/>
        </w:rPr>
        <w:t xml:space="preserve"> 485, 78391 Uničov, IČ: 25814095,</w:t>
      </w:r>
      <w:r w:rsidR="002952C2" w:rsidRPr="002952C2">
        <w:t xml:space="preserve"> </w:t>
      </w:r>
      <w:r w:rsidR="002952C2">
        <w:t xml:space="preserve">ev. č. </w:t>
      </w:r>
      <w:r w:rsidR="002952C2" w:rsidRPr="002952C2">
        <w:rPr>
          <w:i/>
        </w:rPr>
        <w:t>1519</w:t>
      </w:r>
      <w:r w:rsidR="00096CC1" w:rsidRPr="00096CC1">
        <w:rPr>
          <w:i/>
        </w:rPr>
        <w:t xml:space="preserve"> </w:t>
      </w:r>
      <w:r w:rsidRPr="00A675D2">
        <w:lastRenderedPageBreak/>
        <w:t>Odůvodnění usnesení: Podle názoru představenstva společnosti je navržené usnesení v souladu s ustanovením §</w:t>
      </w:r>
      <w:r w:rsidR="00937042">
        <w:t xml:space="preserve"> </w:t>
      </w:r>
      <w:r w:rsidRPr="00A675D2">
        <w:t xml:space="preserve">17 zákona č. 93/2009 Sb. o auditorech o změně některých zákonů </w:t>
      </w:r>
      <w:r w:rsidR="00937042">
        <w:t xml:space="preserve">v platném znění </w:t>
      </w:r>
      <w:r w:rsidRPr="00A675D2">
        <w:t xml:space="preserve">a s tím, že </w:t>
      </w:r>
      <w:r w:rsidR="002952C2">
        <w:t>Ing. Viktor</w:t>
      </w:r>
      <w:r w:rsidR="002952C2" w:rsidRPr="002952C2">
        <w:t xml:space="preserve"> Vor</w:t>
      </w:r>
      <w:r w:rsidR="002952C2">
        <w:t>el</w:t>
      </w:r>
      <w:r w:rsidRPr="00A675D2">
        <w:t xml:space="preserve"> </w:t>
      </w:r>
      <w:r w:rsidR="002952C2">
        <w:t>je vhodnou osobou pro výkon této činnosti</w:t>
      </w:r>
      <w:r w:rsidRPr="00A675D2">
        <w:t>.</w:t>
      </w:r>
    </w:p>
    <w:p w14:paraId="0AA0E673" w14:textId="77777777" w:rsidR="00A404A5" w:rsidRDefault="00A404A5" w:rsidP="00622474">
      <w:pPr>
        <w:pStyle w:val="Zkladntext21"/>
        <w:spacing w:line="280" w:lineRule="exact"/>
        <w:ind w:firstLine="0"/>
      </w:pPr>
      <w:r>
        <w:rPr>
          <w:u w:val="single"/>
        </w:rPr>
        <w:t>K bodu č. 6</w:t>
      </w:r>
      <w:r w:rsidRPr="00A675D2">
        <w:rPr>
          <w:u w:val="single"/>
        </w:rPr>
        <w:t xml:space="preserve"> pořadu jednání:</w:t>
      </w:r>
    </w:p>
    <w:p w14:paraId="59B589D7" w14:textId="77777777" w:rsidR="00017E60" w:rsidRDefault="00017E60" w:rsidP="00622474">
      <w:pPr>
        <w:pStyle w:val="Zkladntext21"/>
        <w:spacing w:line="280" w:lineRule="exact"/>
        <w:ind w:firstLine="0"/>
      </w:pPr>
      <w:r>
        <w:t xml:space="preserve">Představenstvo společnosti seznámí valnou hromadu se stavem půjček a zápůjček, </w:t>
      </w:r>
      <w:r w:rsidR="00FE3E6F">
        <w:t xml:space="preserve">jejichž dlužníkem je společnost, kdy seznam půjček a zápůjček předloží </w:t>
      </w:r>
      <w:r w:rsidR="004C1635">
        <w:t xml:space="preserve">na valné hromadě </w:t>
      </w:r>
      <w:r w:rsidR="00FE3E6F">
        <w:t>akcionářům.</w:t>
      </w:r>
    </w:p>
    <w:p w14:paraId="2475E28F" w14:textId="77777777" w:rsidR="00A404A5" w:rsidRPr="00017E60" w:rsidRDefault="00C13866" w:rsidP="00622474">
      <w:pPr>
        <w:pStyle w:val="Zkladntext21"/>
        <w:spacing w:line="280" w:lineRule="exact"/>
        <w:ind w:firstLine="0"/>
      </w:pPr>
      <w:r w:rsidRPr="00017E60">
        <w:t xml:space="preserve">Představenstvo společnosti dále uvádí, že smluvní úrok </w:t>
      </w:r>
      <w:r w:rsidR="00B650FC" w:rsidRPr="00017E60">
        <w:t xml:space="preserve">z půjček/zápůjček činí </w:t>
      </w:r>
      <w:r w:rsidR="009E0DBE">
        <w:t>u většiny půjček 2% ročně (pozn. pouze u některých je vyšší úrok, a to s maximální výší 6%</w:t>
      </w:r>
      <w:r w:rsidR="0078493C">
        <w:t>, jak je v podrobnostech uvedeno v seznamu půjček a zápůjček</w:t>
      </w:r>
      <w:r w:rsidR="009E0DBE">
        <w:t xml:space="preserve">), </w:t>
      </w:r>
      <w:r w:rsidR="00B650FC" w:rsidRPr="00017E60">
        <w:t>což je pro společnost výhodné, tedy jedná se podmínky, které jsou pro společnost výhodnější, než které by bylo možné jinak získat, např. z bankovního sektoru, tedy uvedené půjčky</w:t>
      </w:r>
      <w:r w:rsidR="00017E60">
        <w:t>/zápůjčky</w:t>
      </w:r>
      <w:r w:rsidR="00B650FC" w:rsidRPr="00017E60">
        <w:t xml:space="preserve"> byly uzavřeny</w:t>
      </w:r>
      <w:r w:rsidR="00017E60">
        <w:t>/poskytnuty za podmínek ujednaných</w:t>
      </w:r>
      <w:r w:rsidR="00B650FC" w:rsidRPr="00017E60">
        <w:t xml:space="preserve"> ve prospěch a v zájmu </w:t>
      </w:r>
      <w:r w:rsidR="00017E60" w:rsidRPr="00017E60">
        <w:t>společnosti.</w:t>
      </w:r>
      <w:r w:rsidR="00017E60">
        <w:t xml:space="preserve"> </w:t>
      </w:r>
    </w:p>
    <w:p w14:paraId="59815F8A" w14:textId="77777777" w:rsidR="00017E60" w:rsidRPr="00A10CB6" w:rsidRDefault="00017E60" w:rsidP="00622474">
      <w:pPr>
        <w:pStyle w:val="Zkladntext21"/>
        <w:spacing w:line="280" w:lineRule="exact"/>
        <w:ind w:firstLine="0"/>
        <w:rPr>
          <w:i/>
        </w:rPr>
      </w:pPr>
      <w:r w:rsidRPr="00A675D2">
        <w:t>Návrh usnesení:</w:t>
      </w:r>
      <w:r>
        <w:t xml:space="preserve"> </w:t>
      </w:r>
      <w:r w:rsidRPr="00A675D2">
        <w:rPr>
          <w:i/>
        </w:rPr>
        <w:t>Valná hromada</w:t>
      </w:r>
      <w:r>
        <w:rPr>
          <w:i/>
        </w:rPr>
        <w:t xml:space="preserve"> bere na vědomí stav půjček a zápůjček, jejichž dlužníkem je společnost, tedy včetně subjektů věřitelů, výši </w:t>
      </w:r>
      <w:r w:rsidR="009C5005">
        <w:rPr>
          <w:i/>
        </w:rPr>
        <w:t>jistin, výše úroků</w:t>
      </w:r>
      <w:r>
        <w:rPr>
          <w:i/>
        </w:rPr>
        <w:t>, splatnosti</w:t>
      </w:r>
      <w:r w:rsidR="00B03A04">
        <w:rPr>
          <w:i/>
        </w:rPr>
        <w:t>, kdy dále valná</w:t>
      </w:r>
      <w:r>
        <w:rPr>
          <w:i/>
        </w:rPr>
        <w:t xml:space="preserve"> hromada prohlašuje, že </w:t>
      </w:r>
      <w:r w:rsidR="004D0999" w:rsidRPr="004D0999">
        <w:rPr>
          <w:i/>
        </w:rPr>
        <w:t>půjčky/zápůjčky byly uzavřeny/poskytnuty za podmínek ujednaných ve prospěch a v zájmu společnosti</w:t>
      </w:r>
      <w:r w:rsidR="009C5005" w:rsidRPr="009E0DBE">
        <w:rPr>
          <w:i/>
        </w:rPr>
        <w:t>, nebyl důvod uzavření půjček/zápůjček zakázat, ani se dovolat/dovolávat jejich neplatnosti ze strany společnosti</w:t>
      </w:r>
      <w:r w:rsidR="003D384B" w:rsidRPr="009E0DBE">
        <w:rPr>
          <w:i/>
        </w:rPr>
        <w:t xml:space="preserve">, kdy </w:t>
      </w:r>
      <w:r w:rsidR="00A10CB6" w:rsidRPr="009E0DBE">
        <w:rPr>
          <w:i/>
        </w:rPr>
        <w:t>valná hromada pověřuje představenstvo k tomu, aby dluhy z půjček a zápůjček vůči věřitelům uznalo.</w:t>
      </w:r>
    </w:p>
    <w:p w14:paraId="533B17EF" w14:textId="77777777" w:rsidR="00A404A5" w:rsidRDefault="00A404A5" w:rsidP="00622474">
      <w:pPr>
        <w:pStyle w:val="Zkladntext21"/>
        <w:spacing w:line="280" w:lineRule="exact"/>
        <w:ind w:firstLine="0"/>
      </w:pPr>
    </w:p>
    <w:p w14:paraId="1D120DC2" w14:textId="77777777" w:rsidR="00D66510" w:rsidRPr="00A675D2" w:rsidRDefault="00FB6831" w:rsidP="00622474">
      <w:pPr>
        <w:pStyle w:val="Zkladntext21"/>
        <w:spacing w:line="280" w:lineRule="exact"/>
        <w:ind w:firstLine="0"/>
      </w:pPr>
      <w:r w:rsidRPr="00A675D2">
        <w:t xml:space="preserve">Tato pozvánka, </w:t>
      </w:r>
      <w:r w:rsidR="00A32AAD" w:rsidRPr="00A675D2">
        <w:t xml:space="preserve">účetní závěrky za roky </w:t>
      </w:r>
      <w:r w:rsidR="0087115F">
        <w:t>2021, 2022</w:t>
      </w:r>
      <w:r w:rsidR="00017E60">
        <w:t>, 2023</w:t>
      </w:r>
      <w:r w:rsidR="00A32AAD">
        <w:t xml:space="preserve"> </w:t>
      </w:r>
      <w:r w:rsidR="00A32AAD" w:rsidRPr="00A675D2">
        <w:t xml:space="preserve">a </w:t>
      </w:r>
      <w:r w:rsidR="0087115F">
        <w:t xml:space="preserve">zprávy auditora o ověření těchto účetních závěrek a </w:t>
      </w:r>
      <w:r w:rsidR="00A32AAD" w:rsidRPr="00A675D2">
        <w:t xml:space="preserve">výroční zprávy za roky </w:t>
      </w:r>
      <w:r w:rsidR="0087115F">
        <w:t>2021, 2022</w:t>
      </w:r>
      <w:r w:rsidR="00017E60">
        <w:t xml:space="preserve">, 2023 a seznam půjček a zápůjček, </w:t>
      </w:r>
      <w:r w:rsidR="00A32AAD" w:rsidRPr="00A675D2">
        <w:t>jsou pro akcionáře zpřístupněny na internetových stránkách společnosti www.golfarea.cz</w:t>
      </w:r>
      <w:r w:rsidR="0087115F">
        <w:t>,</w:t>
      </w:r>
      <w:r w:rsidR="00A32AAD" w:rsidRPr="00A675D2">
        <w:t xml:space="preserve"> a dále </w:t>
      </w:r>
      <w:r w:rsidR="00D565EC">
        <w:t xml:space="preserve">včetně smluv o půjčkách a zápůjčkách v listinné podobě </w:t>
      </w:r>
      <w:r w:rsidR="00A32AAD" w:rsidRPr="00A675D2">
        <w:t xml:space="preserve">k nahlédnutí v sídle společnosti v době od </w:t>
      </w:r>
      <w:r w:rsidR="00017E60">
        <w:t>6. 11. 2024</w:t>
      </w:r>
      <w:r w:rsidR="00A32AAD" w:rsidRPr="00A675D2">
        <w:t xml:space="preserve"> do dne konání valné hromady společnosti, a to vždy v pracovní dny v době od 10:00 hod. do 15:00</w:t>
      </w:r>
      <w:r w:rsidR="002F01CB">
        <w:t xml:space="preserve"> hod</w:t>
      </w:r>
      <w:r w:rsidR="00A32AAD">
        <w:t xml:space="preserve">. </w:t>
      </w:r>
    </w:p>
    <w:p w14:paraId="58A68E76" w14:textId="77777777" w:rsidR="00A404A5" w:rsidRDefault="00A404A5" w:rsidP="00622474">
      <w:pPr>
        <w:pStyle w:val="Zkladntext21"/>
        <w:spacing w:line="280" w:lineRule="exact"/>
        <w:ind w:firstLine="0"/>
      </w:pPr>
    </w:p>
    <w:p w14:paraId="08B42D8C" w14:textId="77777777" w:rsidR="005848ED" w:rsidRPr="00A675D2" w:rsidRDefault="00FC6179" w:rsidP="00622474">
      <w:pPr>
        <w:pStyle w:val="Zkladntext21"/>
        <w:spacing w:line="280" w:lineRule="exact"/>
        <w:ind w:firstLine="0"/>
      </w:pPr>
      <w:r w:rsidRPr="00A675D2">
        <w:t xml:space="preserve">V Olomouci dne </w:t>
      </w:r>
      <w:r w:rsidR="00017E60">
        <w:t>5. 11</w:t>
      </w:r>
      <w:r w:rsidR="005C16AC">
        <w:t>. 2024</w:t>
      </w:r>
    </w:p>
    <w:p w14:paraId="0343FDD3" w14:textId="77777777" w:rsidR="00FD1B93" w:rsidRPr="00A675D2" w:rsidRDefault="00FD1B93" w:rsidP="00622474">
      <w:pPr>
        <w:spacing w:before="120" w:line="280" w:lineRule="exact"/>
        <w:jc w:val="both"/>
        <w:rPr>
          <w:rFonts w:ascii="Arial" w:hAnsi="Arial"/>
          <w:lang w:val="cs-CZ"/>
        </w:rPr>
      </w:pPr>
    </w:p>
    <w:p w14:paraId="626D3056" w14:textId="77777777" w:rsidR="00FD1B93" w:rsidRPr="00A675D2" w:rsidRDefault="00FD1B93" w:rsidP="00622474">
      <w:pPr>
        <w:spacing w:before="120" w:line="280" w:lineRule="exact"/>
        <w:jc w:val="both"/>
        <w:rPr>
          <w:rFonts w:ascii="Arial" w:hAnsi="Arial"/>
          <w:lang w:val="cs-CZ"/>
        </w:rPr>
      </w:pPr>
      <w:r w:rsidRPr="00A675D2">
        <w:rPr>
          <w:rFonts w:ascii="Arial" w:hAnsi="Arial"/>
          <w:lang w:val="cs-CZ"/>
        </w:rPr>
        <w:t>………………………………</w:t>
      </w:r>
      <w:r w:rsidRPr="00A675D2">
        <w:rPr>
          <w:rFonts w:ascii="Arial" w:hAnsi="Arial"/>
          <w:lang w:val="cs-CZ"/>
        </w:rPr>
        <w:tab/>
        <w:t>…………………………………</w:t>
      </w:r>
      <w:r w:rsidR="00BF196F">
        <w:rPr>
          <w:rFonts w:ascii="Arial" w:hAnsi="Arial"/>
          <w:lang w:val="cs-CZ"/>
        </w:rPr>
        <w:tab/>
        <w:t>…………………………</w:t>
      </w:r>
      <w:r w:rsidR="00BF196F">
        <w:rPr>
          <w:rFonts w:ascii="Arial" w:hAnsi="Arial"/>
          <w:lang w:val="cs-CZ"/>
        </w:rPr>
        <w:tab/>
      </w:r>
    </w:p>
    <w:p w14:paraId="11E4454A" w14:textId="77777777" w:rsidR="00FD1B93" w:rsidRPr="00A675D2" w:rsidRDefault="00FD1B93" w:rsidP="00622474">
      <w:pPr>
        <w:spacing w:before="120" w:line="280" w:lineRule="exact"/>
        <w:jc w:val="both"/>
        <w:rPr>
          <w:rFonts w:ascii="Arial" w:hAnsi="Arial"/>
          <w:lang w:val="cs-CZ"/>
        </w:rPr>
      </w:pPr>
      <w:r w:rsidRPr="00A675D2">
        <w:rPr>
          <w:rFonts w:ascii="Arial" w:hAnsi="Arial"/>
          <w:lang w:val="cs-CZ"/>
        </w:rPr>
        <w:t>Jan Kalabis</w:t>
      </w:r>
      <w:r w:rsidR="00BF196F">
        <w:rPr>
          <w:rFonts w:ascii="Arial" w:hAnsi="Arial"/>
          <w:lang w:val="cs-CZ"/>
        </w:rPr>
        <w:tab/>
      </w:r>
      <w:r w:rsidR="00BF196F">
        <w:rPr>
          <w:rFonts w:ascii="Arial" w:hAnsi="Arial"/>
          <w:lang w:val="cs-CZ"/>
        </w:rPr>
        <w:tab/>
      </w:r>
      <w:r w:rsidR="00BF196F">
        <w:rPr>
          <w:rFonts w:ascii="Arial" w:hAnsi="Arial"/>
          <w:lang w:val="cs-CZ"/>
        </w:rPr>
        <w:tab/>
      </w:r>
      <w:r w:rsidRPr="00A675D2">
        <w:rPr>
          <w:rFonts w:ascii="Arial" w:hAnsi="Arial"/>
          <w:lang w:val="cs-CZ"/>
        </w:rPr>
        <w:t>MUDr. Lukáš Kalabis</w:t>
      </w:r>
      <w:r w:rsidR="00BF196F">
        <w:rPr>
          <w:rFonts w:ascii="Arial" w:hAnsi="Arial"/>
          <w:lang w:val="cs-CZ"/>
        </w:rPr>
        <w:tab/>
      </w:r>
      <w:r w:rsidR="00BF196F">
        <w:rPr>
          <w:rFonts w:ascii="Arial" w:hAnsi="Arial"/>
          <w:lang w:val="cs-CZ"/>
        </w:rPr>
        <w:tab/>
      </w:r>
      <w:r w:rsidR="00DF7E28">
        <w:rPr>
          <w:rFonts w:ascii="Arial" w:hAnsi="Arial"/>
          <w:lang w:val="cs-CZ"/>
        </w:rPr>
        <w:t xml:space="preserve">Ing. </w:t>
      </w:r>
      <w:r w:rsidR="00BF196F" w:rsidRPr="00A675D2">
        <w:rPr>
          <w:rFonts w:ascii="Arial" w:hAnsi="Arial"/>
          <w:lang w:val="cs-CZ"/>
        </w:rPr>
        <w:t>Jan Kalabis</w:t>
      </w:r>
    </w:p>
    <w:p w14:paraId="7D42DD87" w14:textId="77777777" w:rsidR="002D71A5" w:rsidRDefault="00BF196F" w:rsidP="00622474">
      <w:pPr>
        <w:spacing w:before="120" w:line="280" w:lineRule="exact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předseda představenstva</w:t>
      </w:r>
      <w:r>
        <w:rPr>
          <w:rFonts w:ascii="Arial" w:hAnsi="Arial"/>
          <w:lang w:val="cs-CZ"/>
        </w:rPr>
        <w:tab/>
      </w:r>
      <w:r w:rsidR="00FD1B93" w:rsidRPr="00A675D2">
        <w:rPr>
          <w:rFonts w:ascii="Arial" w:hAnsi="Arial"/>
          <w:lang w:val="cs-CZ"/>
        </w:rPr>
        <w:t>člen představenstva</w:t>
      </w:r>
      <w:r w:rsidR="00FD1B93" w:rsidRPr="00A675D2"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 w:rsidRPr="00A675D2">
        <w:rPr>
          <w:rFonts w:ascii="Arial" w:hAnsi="Arial"/>
          <w:lang w:val="cs-CZ"/>
        </w:rPr>
        <w:t>člen představenstva</w:t>
      </w:r>
    </w:p>
    <w:sectPr w:rsidR="002D71A5">
      <w:footerReference w:type="default" r:id="rId7"/>
      <w:pgSz w:w="11906" w:h="16838"/>
      <w:pgMar w:top="1440" w:right="1800" w:bottom="144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93DE3" w14:textId="77777777" w:rsidR="005A64F6" w:rsidRDefault="005A64F6" w:rsidP="008B1BA9">
      <w:r>
        <w:separator/>
      </w:r>
    </w:p>
  </w:endnote>
  <w:endnote w:type="continuationSeparator" w:id="0">
    <w:p w14:paraId="2EBB304C" w14:textId="77777777" w:rsidR="005A64F6" w:rsidRDefault="005A64F6" w:rsidP="008B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477118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FCDC7A3" w14:textId="77777777" w:rsidR="008B1BA9" w:rsidRPr="00BF196F" w:rsidRDefault="008B1BA9">
        <w:pPr>
          <w:pStyle w:val="Zpat"/>
          <w:jc w:val="center"/>
          <w:rPr>
            <w:rFonts w:ascii="Arial" w:hAnsi="Arial" w:cs="Arial"/>
          </w:rPr>
        </w:pPr>
        <w:r w:rsidRPr="00BF196F">
          <w:rPr>
            <w:rFonts w:ascii="Arial" w:hAnsi="Arial" w:cs="Arial"/>
          </w:rPr>
          <w:fldChar w:fldCharType="begin"/>
        </w:r>
        <w:r w:rsidRPr="00BF196F">
          <w:rPr>
            <w:rFonts w:ascii="Arial" w:hAnsi="Arial" w:cs="Arial"/>
          </w:rPr>
          <w:instrText>PAGE   \* MERGEFORMAT</w:instrText>
        </w:r>
        <w:r w:rsidRPr="00BF196F">
          <w:rPr>
            <w:rFonts w:ascii="Arial" w:hAnsi="Arial" w:cs="Arial"/>
          </w:rPr>
          <w:fldChar w:fldCharType="separate"/>
        </w:r>
        <w:r w:rsidR="00924114" w:rsidRPr="00924114">
          <w:rPr>
            <w:rFonts w:ascii="Arial" w:hAnsi="Arial" w:cs="Arial"/>
            <w:noProof/>
            <w:lang w:val="cs-CZ"/>
          </w:rPr>
          <w:t>3</w:t>
        </w:r>
        <w:r w:rsidRPr="00BF196F">
          <w:rPr>
            <w:rFonts w:ascii="Arial" w:hAnsi="Arial" w:cs="Arial"/>
          </w:rPr>
          <w:fldChar w:fldCharType="end"/>
        </w:r>
      </w:p>
    </w:sdtContent>
  </w:sdt>
  <w:p w14:paraId="34707ECC" w14:textId="77777777" w:rsidR="008B1BA9" w:rsidRDefault="008B1B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D9991" w14:textId="77777777" w:rsidR="005A64F6" w:rsidRDefault="005A64F6" w:rsidP="008B1BA9">
      <w:r>
        <w:separator/>
      </w:r>
    </w:p>
  </w:footnote>
  <w:footnote w:type="continuationSeparator" w:id="0">
    <w:p w14:paraId="617C3413" w14:textId="77777777" w:rsidR="005A64F6" w:rsidRDefault="005A64F6" w:rsidP="008B1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054B9"/>
    <w:multiLevelType w:val="hybridMultilevel"/>
    <w:tmpl w:val="13A881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F07BB"/>
    <w:multiLevelType w:val="singleLevel"/>
    <w:tmpl w:val="893A0F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 w16cid:durableId="504632973">
    <w:abstractNumId w:val="1"/>
  </w:num>
  <w:num w:numId="2" w16cid:durableId="1120412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03"/>
    <w:rsid w:val="00017E60"/>
    <w:rsid w:val="000211A0"/>
    <w:rsid w:val="00024C37"/>
    <w:rsid w:val="00050937"/>
    <w:rsid w:val="000751F2"/>
    <w:rsid w:val="00092B09"/>
    <w:rsid w:val="00096CC1"/>
    <w:rsid w:val="000A6487"/>
    <w:rsid w:val="000C109B"/>
    <w:rsid w:val="000C6554"/>
    <w:rsid w:val="000F2838"/>
    <w:rsid w:val="000F4498"/>
    <w:rsid w:val="000F44A7"/>
    <w:rsid w:val="00111A00"/>
    <w:rsid w:val="0011705F"/>
    <w:rsid w:val="00124299"/>
    <w:rsid w:val="001562C1"/>
    <w:rsid w:val="00156995"/>
    <w:rsid w:val="0017698E"/>
    <w:rsid w:val="00177549"/>
    <w:rsid w:val="00180040"/>
    <w:rsid w:val="00181225"/>
    <w:rsid w:val="00185858"/>
    <w:rsid w:val="001A203C"/>
    <w:rsid w:val="001C6992"/>
    <w:rsid w:val="001D098B"/>
    <w:rsid w:val="001D0C39"/>
    <w:rsid w:val="001E407D"/>
    <w:rsid w:val="001F7D35"/>
    <w:rsid w:val="00205D97"/>
    <w:rsid w:val="00214AB9"/>
    <w:rsid w:val="00232049"/>
    <w:rsid w:val="0028667F"/>
    <w:rsid w:val="00287ECA"/>
    <w:rsid w:val="002952C2"/>
    <w:rsid w:val="002B18CB"/>
    <w:rsid w:val="002D71A5"/>
    <w:rsid w:val="002F01CB"/>
    <w:rsid w:val="002F1B27"/>
    <w:rsid w:val="002F20F0"/>
    <w:rsid w:val="002F7534"/>
    <w:rsid w:val="00320A84"/>
    <w:rsid w:val="00331DE5"/>
    <w:rsid w:val="00331FFC"/>
    <w:rsid w:val="00393775"/>
    <w:rsid w:val="003A6697"/>
    <w:rsid w:val="003B32AC"/>
    <w:rsid w:val="003B7F5B"/>
    <w:rsid w:val="003C5537"/>
    <w:rsid w:val="003C7618"/>
    <w:rsid w:val="003D384B"/>
    <w:rsid w:val="003D55F0"/>
    <w:rsid w:val="003D6341"/>
    <w:rsid w:val="003D7A59"/>
    <w:rsid w:val="003E3753"/>
    <w:rsid w:val="00400B2B"/>
    <w:rsid w:val="004305A8"/>
    <w:rsid w:val="004328AB"/>
    <w:rsid w:val="00470F41"/>
    <w:rsid w:val="004A283E"/>
    <w:rsid w:val="004B0F57"/>
    <w:rsid w:val="004C1635"/>
    <w:rsid w:val="004D0999"/>
    <w:rsid w:val="004D170E"/>
    <w:rsid w:val="004D29F3"/>
    <w:rsid w:val="004D6503"/>
    <w:rsid w:val="004E23C1"/>
    <w:rsid w:val="00524E34"/>
    <w:rsid w:val="005418C4"/>
    <w:rsid w:val="005776C0"/>
    <w:rsid w:val="005848ED"/>
    <w:rsid w:val="00586750"/>
    <w:rsid w:val="005A64F6"/>
    <w:rsid w:val="005A6780"/>
    <w:rsid w:val="005B1963"/>
    <w:rsid w:val="005C16AC"/>
    <w:rsid w:val="005C5328"/>
    <w:rsid w:val="005F2DA2"/>
    <w:rsid w:val="0060214A"/>
    <w:rsid w:val="006028B8"/>
    <w:rsid w:val="006067E8"/>
    <w:rsid w:val="00622474"/>
    <w:rsid w:val="00640A8A"/>
    <w:rsid w:val="00647AB0"/>
    <w:rsid w:val="00670ECE"/>
    <w:rsid w:val="00685EA6"/>
    <w:rsid w:val="006B644F"/>
    <w:rsid w:val="006C3A8C"/>
    <w:rsid w:val="006D2034"/>
    <w:rsid w:val="006D35BB"/>
    <w:rsid w:val="006D514C"/>
    <w:rsid w:val="006E20A2"/>
    <w:rsid w:val="006F0E60"/>
    <w:rsid w:val="007201FB"/>
    <w:rsid w:val="00731A31"/>
    <w:rsid w:val="00747F65"/>
    <w:rsid w:val="0078493C"/>
    <w:rsid w:val="007A3117"/>
    <w:rsid w:val="007A446A"/>
    <w:rsid w:val="007A5577"/>
    <w:rsid w:val="007B3B87"/>
    <w:rsid w:val="007C180C"/>
    <w:rsid w:val="008152B7"/>
    <w:rsid w:val="00824E5B"/>
    <w:rsid w:val="00862086"/>
    <w:rsid w:val="00867AD4"/>
    <w:rsid w:val="0087115F"/>
    <w:rsid w:val="00883EA8"/>
    <w:rsid w:val="00895BF9"/>
    <w:rsid w:val="0089625A"/>
    <w:rsid w:val="008A0608"/>
    <w:rsid w:val="008A62B6"/>
    <w:rsid w:val="008B1BA9"/>
    <w:rsid w:val="008C3D03"/>
    <w:rsid w:val="008F1AD1"/>
    <w:rsid w:val="00902E74"/>
    <w:rsid w:val="00911E3B"/>
    <w:rsid w:val="00913352"/>
    <w:rsid w:val="00924114"/>
    <w:rsid w:val="00925C49"/>
    <w:rsid w:val="00937042"/>
    <w:rsid w:val="00940352"/>
    <w:rsid w:val="009907B4"/>
    <w:rsid w:val="00991E2C"/>
    <w:rsid w:val="009C5005"/>
    <w:rsid w:val="009E0DBE"/>
    <w:rsid w:val="009F7A86"/>
    <w:rsid w:val="00A05ED9"/>
    <w:rsid w:val="00A10CB6"/>
    <w:rsid w:val="00A32653"/>
    <w:rsid w:val="00A32AAD"/>
    <w:rsid w:val="00A34F9E"/>
    <w:rsid w:val="00A3530D"/>
    <w:rsid w:val="00A404A5"/>
    <w:rsid w:val="00A66DB1"/>
    <w:rsid w:val="00A675D2"/>
    <w:rsid w:val="00A83AD4"/>
    <w:rsid w:val="00A942E9"/>
    <w:rsid w:val="00AA00A2"/>
    <w:rsid w:val="00AA32E2"/>
    <w:rsid w:val="00AC09D4"/>
    <w:rsid w:val="00AD5C8A"/>
    <w:rsid w:val="00B030E8"/>
    <w:rsid w:val="00B03A04"/>
    <w:rsid w:val="00B30A01"/>
    <w:rsid w:val="00B650FC"/>
    <w:rsid w:val="00B70EEE"/>
    <w:rsid w:val="00B8671F"/>
    <w:rsid w:val="00B935A4"/>
    <w:rsid w:val="00BB657A"/>
    <w:rsid w:val="00BC7CF2"/>
    <w:rsid w:val="00BF196F"/>
    <w:rsid w:val="00C13866"/>
    <w:rsid w:val="00C17651"/>
    <w:rsid w:val="00C434DA"/>
    <w:rsid w:val="00C671A8"/>
    <w:rsid w:val="00C701DA"/>
    <w:rsid w:val="00C71413"/>
    <w:rsid w:val="00C77195"/>
    <w:rsid w:val="00C83899"/>
    <w:rsid w:val="00C95629"/>
    <w:rsid w:val="00CB1C50"/>
    <w:rsid w:val="00CC71A5"/>
    <w:rsid w:val="00CD340B"/>
    <w:rsid w:val="00CD5599"/>
    <w:rsid w:val="00CE2215"/>
    <w:rsid w:val="00CF01FB"/>
    <w:rsid w:val="00D07B35"/>
    <w:rsid w:val="00D3330A"/>
    <w:rsid w:val="00D36741"/>
    <w:rsid w:val="00D565EC"/>
    <w:rsid w:val="00D66510"/>
    <w:rsid w:val="00D67B55"/>
    <w:rsid w:val="00D74A41"/>
    <w:rsid w:val="00D850A0"/>
    <w:rsid w:val="00D86D96"/>
    <w:rsid w:val="00D93DC8"/>
    <w:rsid w:val="00DC7984"/>
    <w:rsid w:val="00DE11CA"/>
    <w:rsid w:val="00DE3D5C"/>
    <w:rsid w:val="00DF7E28"/>
    <w:rsid w:val="00E13AE5"/>
    <w:rsid w:val="00E3147A"/>
    <w:rsid w:val="00E314B9"/>
    <w:rsid w:val="00E509DC"/>
    <w:rsid w:val="00E643DD"/>
    <w:rsid w:val="00E9655D"/>
    <w:rsid w:val="00EA36A6"/>
    <w:rsid w:val="00EA4AF5"/>
    <w:rsid w:val="00ED3859"/>
    <w:rsid w:val="00F00F91"/>
    <w:rsid w:val="00F010D9"/>
    <w:rsid w:val="00F03580"/>
    <w:rsid w:val="00F10EAD"/>
    <w:rsid w:val="00F11C6A"/>
    <w:rsid w:val="00F3129E"/>
    <w:rsid w:val="00F4096F"/>
    <w:rsid w:val="00F422E6"/>
    <w:rsid w:val="00F4486E"/>
    <w:rsid w:val="00F44A4A"/>
    <w:rsid w:val="00F53AF3"/>
    <w:rsid w:val="00F72CB4"/>
    <w:rsid w:val="00FA4E93"/>
    <w:rsid w:val="00FB261D"/>
    <w:rsid w:val="00FB2829"/>
    <w:rsid w:val="00FB6831"/>
    <w:rsid w:val="00FC1AB6"/>
    <w:rsid w:val="00FC44BB"/>
    <w:rsid w:val="00FC6179"/>
    <w:rsid w:val="00FD1B93"/>
    <w:rsid w:val="00FE3E6F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6F84C"/>
  <w15:docId w15:val="{EC352CF8-F0EB-45AF-A363-A8D02EBA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spacing w:before="120"/>
      <w:ind w:firstLine="720"/>
      <w:jc w:val="both"/>
    </w:pPr>
    <w:rPr>
      <w:rFonts w:ascii="Arial" w:hAnsi="Arial"/>
      <w:lang w:val="cs-CZ"/>
    </w:rPr>
  </w:style>
  <w:style w:type="paragraph" w:customStyle="1" w:styleId="Zkladntext22">
    <w:name w:val="Základní text 22"/>
    <w:basedOn w:val="Normln"/>
    <w:pPr>
      <w:tabs>
        <w:tab w:val="left" w:pos="-1701"/>
        <w:tab w:val="left" w:pos="-567"/>
      </w:tabs>
      <w:ind w:left="142" w:hanging="284"/>
      <w:jc w:val="both"/>
    </w:pPr>
    <w:rPr>
      <w:rFonts w:ascii="Arial" w:hAnsi="Arial"/>
      <w:lang w:val="cs-CZ"/>
    </w:rPr>
  </w:style>
  <w:style w:type="character" w:styleId="Hypertextovodkaz">
    <w:name w:val="Hyperlink"/>
    <w:rsid w:val="00177549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B1B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1BA9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8B1B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1BA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640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9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33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8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0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73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53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72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462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784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62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270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550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6714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5275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6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5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5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46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97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31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1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39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16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998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571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107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52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161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997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7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7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1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92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83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92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72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687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041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3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67063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AK JUDr. Lubomír Minařík</Company>
  <LinksUpToDate>false</LinksUpToDate>
  <CharactersWithSpaces>6944</CharactersWithSpaces>
  <SharedDoc>false</SharedDoc>
  <HLinks>
    <vt:vector size="6" baseType="variant">
      <vt:variant>
        <vt:i4>1114232</vt:i4>
      </vt:variant>
      <vt:variant>
        <vt:i4>0</vt:i4>
      </vt:variant>
      <vt:variant>
        <vt:i4>0</vt:i4>
      </vt:variant>
      <vt:variant>
        <vt:i4>5</vt:i4>
      </vt:variant>
      <vt:variant>
        <vt:lpwstr>mailto:zuzana.hrabalova@golfarea.cz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GOLF</dc:creator>
  <cp:lastModifiedBy>Jan Kalabis</cp:lastModifiedBy>
  <cp:revision>2</cp:revision>
  <cp:lastPrinted>2021-10-27T13:13:00Z</cp:lastPrinted>
  <dcterms:created xsi:type="dcterms:W3CDTF">2024-11-19T10:14:00Z</dcterms:created>
  <dcterms:modified xsi:type="dcterms:W3CDTF">2024-11-19T10:14:00Z</dcterms:modified>
</cp:coreProperties>
</file>